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AA03" w14:textId="4BEDBFE8" w:rsidR="00084E65" w:rsidRPr="007C2671" w:rsidRDefault="009213E5" w:rsidP="009A3F78">
      <w:pPr>
        <w:pStyle w:val="RAEXdefault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И</w:t>
      </w:r>
      <w:r w:rsidR="00084E65" w:rsidRPr="007C2671">
        <w:rPr>
          <w:rFonts w:cs="Times New Roman"/>
          <w:sz w:val="32"/>
          <w:szCs w:val="32"/>
          <w:lang w:val="ru-RU"/>
        </w:rPr>
        <w:t>зменени</w:t>
      </w:r>
      <w:r>
        <w:rPr>
          <w:rFonts w:cs="Times New Roman"/>
          <w:sz w:val="32"/>
          <w:szCs w:val="32"/>
          <w:lang w:val="ru-RU"/>
        </w:rPr>
        <w:t>я</w:t>
      </w:r>
      <w:r w:rsidR="00084E65" w:rsidRPr="007C2671">
        <w:rPr>
          <w:rFonts w:cs="Times New Roman"/>
          <w:sz w:val="32"/>
          <w:szCs w:val="32"/>
          <w:lang w:val="ru-RU"/>
        </w:rPr>
        <w:t xml:space="preserve"> </w:t>
      </w:r>
      <w:r>
        <w:rPr>
          <w:rFonts w:cs="Times New Roman"/>
          <w:sz w:val="32"/>
          <w:szCs w:val="32"/>
          <w:lang w:val="ru-RU"/>
        </w:rPr>
        <w:t xml:space="preserve">в </w:t>
      </w:r>
      <w:r w:rsidR="00084E65" w:rsidRPr="007C2671">
        <w:rPr>
          <w:rFonts w:cs="Times New Roman"/>
          <w:sz w:val="32"/>
          <w:szCs w:val="32"/>
          <w:lang w:val="ru-RU"/>
        </w:rPr>
        <w:t xml:space="preserve">методологии присвоения </w:t>
      </w:r>
      <w:r w:rsidR="00006380">
        <w:rPr>
          <w:rFonts w:cs="Times New Roman"/>
          <w:sz w:val="32"/>
          <w:szCs w:val="32"/>
          <w:lang w:val="ru-RU"/>
        </w:rPr>
        <w:t>рейтингов кредитоспособности финансовым компаниям</w:t>
      </w:r>
    </w:p>
    <w:p w14:paraId="088D111D" w14:textId="77777777" w:rsidR="00FD28BB" w:rsidRDefault="00FD28BB" w:rsidP="009A3F78">
      <w:pPr>
        <w:jc w:val="both"/>
        <w:rPr>
          <w:spacing w:val="2"/>
          <w:sz w:val="28"/>
          <w:szCs w:val="28"/>
          <w:lang w:eastAsia="en-US"/>
        </w:rPr>
      </w:pPr>
    </w:p>
    <w:p w14:paraId="0D8A042F" w14:textId="38526A93" w:rsidR="009A3F78" w:rsidRDefault="00CD1945" w:rsidP="009A3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pacing w:val="2"/>
          <w:szCs w:val="28"/>
          <w:lang w:eastAsia="en-US"/>
        </w:rPr>
      </w:pPr>
      <w:r w:rsidRPr="00FD28BB">
        <w:rPr>
          <w:rFonts w:cs="Times New Roman"/>
          <w:b/>
        </w:rPr>
        <w:t xml:space="preserve">В </w:t>
      </w:r>
      <w:r w:rsidR="00714683">
        <w:rPr>
          <w:rFonts w:cs="Times New Roman"/>
          <w:b/>
        </w:rPr>
        <w:t>«О</w:t>
      </w:r>
      <w:r w:rsidRPr="00FD28BB">
        <w:rPr>
          <w:rFonts w:cs="Times New Roman"/>
          <w:b/>
        </w:rPr>
        <w:t>бласт</w:t>
      </w:r>
      <w:r w:rsidR="00FD28BB">
        <w:rPr>
          <w:rFonts w:cs="Times New Roman"/>
          <w:b/>
        </w:rPr>
        <w:t>ь</w:t>
      </w:r>
      <w:r w:rsidRPr="00FD28BB">
        <w:rPr>
          <w:rFonts w:cs="Times New Roman"/>
          <w:b/>
        </w:rPr>
        <w:t xml:space="preserve"> применения методологии</w:t>
      </w:r>
      <w:r w:rsidR="00714683">
        <w:rPr>
          <w:rFonts w:cs="Times New Roman"/>
          <w:b/>
        </w:rPr>
        <w:t>»</w:t>
      </w:r>
      <w:r w:rsidR="00FD28BB" w:rsidRPr="00FD28BB">
        <w:rPr>
          <w:rFonts w:cs="Times New Roman"/>
          <w:b/>
        </w:rPr>
        <w:t xml:space="preserve"> </w:t>
      </w:r>
      <w:r w:rsidR="003C3D2A" w:rsidRPr="00B52E84">
        <w:rPr>
          <w:rFonts w:ascii="Times New Roman" w:hAnsi="Times New Roman" w:cs="Times New Roman"/>
          <w:spacing w:val="2"/>
          <w:szCs w:val="28"/>
          <w:lang w:eastAsia="en-US"/>
        </w:rPr>
        <w:t>в</w:t>
      </w:r>
      <w:r w:rsidR="006D00B1" w:rsidRPr="00B52E84">
        <w:rPr>
          <w:rFonts w:ascii="Times New Roman" w:hAnsi="Times New Roman" w:cs="Times New Roman"/>
          <w:spacing w:val="2"/>
          <w:szCs w:val="28"/>
          <w:lang w:eastAsia="en-US"/>
        </w:rPr>
        <w:t>несен</w:t>
      </w:r>
      <w:r w:rsidR="00365E30">
        <w:rPr>
          <w:rFonts w:ascii="Times New Roman" w:hAnsi="Times New Roman" w:cs="Times New Roman"/>
          <w:spacing w:val="2"/>
          <w:szCs w:val="28"/>
          <w:lang w:eastAsia="en-US"/>
        </w:rPr>
        <w:t>о</w:t>
      </w:r>
      <w:r w:rsidR="006D00B1" w:rsidRPr="00FD28BB">
        <w:rPr>
          <w:rFonts w:ascii="Times New Roman" w:hAnsi="Times New Roman" w:cs="Times New Roman"/>
          <w:spacing w:val="2"/>
          <w:szCs w:val="28"/>
          <w:lang w:eastAsia="en-US"/>
        </w:rPr>
        <w:t xml:space="preserve"> </w:t>
      </w:r>
      <w:r w:rsidR="00365E30">
        <w:rPr>
          <w:rFonts w:ascii="Times New Roman" w:hAnsi="Times New Roman" w:cs="Times New Roman"/>
          <w:spacing w:val="2"/>
          <w:szCs w:val="28"/>
          <w:lang w:eastAsia="en-US"/>
        </w:rPr>
        <w:t>уточнение</w:t>
      </w:r>
      <w:r w:rsidR="009A3F78">
        <w:rPr>
          <w:rFonts w:ascii="Times New Roman" w:hAnsi="Times New Roman" w:cs="Times New Roman"/>
          <w:spacing w:val="2"/>
          <w:szCs w:val="28"/>
          <w:lang w:eastAsia="en-US"/>
        </w:rPr>
        <w:t>:</w:t>
      </w:r>
    </w:p>
    <w:p w14:paraId="72587F36" w14:textId="664FD046" w:rsidR="009A3F78" w:rsidRPr="003E5931" w:rsidRDefault="009A3F78">
      <w:pPr>
        <w:jc w:val="both"/>
        <w:rPr>
          <w:rFonts w:ascii="Times New Roman" w:hAnsi="Times New Roman" w:cs="Times New Roman"/>
          <w:spacing w:val="2"/>
          <w:szCs w:val="28"/>
        </w:rPr>
      </w:pPr>
      <w:r w:rsidRPr="003E5931">
        <w:rPr>
          <w:rFonts w:ascii="Times New Roman" w:hAnsi="Times New Roman" w:cs="Times New Roman"/>
        </w:rPr>
        <w:t xml:space="preserve">В соответствии с настоящей методологией кредитное рейтинговое агентство АО «Эксперт РА» (далее </w:t>
      </w:r>
      <w:r>
        <w:rPr>
          <w:rFonts w:ascii="Times New Roman" w:hAnsi="Times New Roman" w:cs="Times New Roman"/>
        </w:rPr>
        <w:t xml:space="preserve">– </w:t>
      </w:r>
      <w:r w:rsidRPr="003E5931">
        <w:rPr>
          <w:rFonts w:ascii="Times New Roman" w:hAnsi="Times New Roman" w:cs="Times New Roman"/>
        </w:rPr>
        <w:t>Агентство или «Эксперт РА») присваивает рейтинги кредитоспособности (далее</w:t>
      </w:r>
      <w:r>
        <w:rPr>
          <w:rFonts w:ascii="Times New Roman" w:hAnsi="Times New Roman" w:cs="Times New Roman"/>
        </w:rPr>
        <w:t xml:space="preserve"> – </w:t>
      </w:r>
      <w:r w:rsidRPr="003E5931">
        <w:rPr>
          <w:rFonts w:ascii="Times New Roman" w:hAnsi="Times New Roman" w:cs="Times New Roman"/>
        </w:rPr>
        <w:t>кредитный рейтинг или рейтинг) финансовым компаниям (далее</w:t>
      </w:r>
      <w:r>
        <w:rPr>
          <w:rFonts w:ascii="Times New Roman" w:hAnsi="Times New Roman" w:cs="Times New Roman"/>
        </w:rPr>
        <w:t xml:space="preserve"> –</w:t>
      </w:r>
      <w:r w:rsidRPr="003E5931">
        <w:rPr>
          <w:rFonts w:ascii="Times New Roman" w:hAnsi="Times New Roman" w:cs="Times New Roman"/>
        </w:rPr>
        <w:t xml:space="preserve"> объект рейтинга</w:t>
      </w:r>
      <w:r>
        <w:rPr>
          <w:rFonts w:ascii="Times New Roman" w:hAnsi="Times New Roman" w:cs="Times New Roman"/>
        </w:rPr>
        <w:t xml:space="preserve"> (ОР)</w:t>
      </w:r>
      <w:r w:rsidRPr="003E5931">
        <w:rPr>
          <w:rFonts w:ascii="Times New Roman" w:hAnsi="Times New Roman" w:cs="Times New Roman"/>
        </w:rPr>
        <w:t>, компания или финансовая компания).</w:t>
      </w:r>
      <w:r>
        <w:rPr>
          <w:rFonts w:ascii="Times New Roman" w:hAnsi="Times New Roman" w:cs="Times New Roman"/>
        </w:rPr>
        <w:t xml:space="preserve"> </w:t>
      </w:r>
      <w:r w:rsidRPr="003E5931">
        <w:rPr>
          <w:rFonts w:ascii="Times New Roman" w:hAnsi="Times New Roman" w:cs="Times New Roman"/>
          <w:spacing w:val="2"/>
          <w:szCs w:val="28"/>
        </w:rPr>
        <w:t>К финансовым компаниям Агентство относит</w:t>
      </w:r>
      <w:r>
        <w:rPr>
          <w:rFonts w:ascii="Times New Roman" w:hAnsi="Times New Roman" w:cs="Times New Roman"/>
          <w:spacing w:val="2"/>
          <w:szCs w:val="28"/>
        </w:rPr>
        <w:t xml:space="preserve"> следующие компании при условии, что к ним не могут быть применены другие методологии </w:t>
      </w:r>
      <w:r w:rsidRPr="003B4432">
        <w:rPr>
          <w:rFonts w:ascii="Times New Roman" w:hAnsi="Times New Roman" w:cs="Times New Roman"/>
          <w:spacing w:val="2"/>
          <w:szCs w:val="28"/>
          <w:u w:val="single"/>
        </w:rPr>
        <w:t>присвоения кредитных рейтингов</w:t>
      </w:r>
      <w:r>
        <w:rPr>
          <w:rFonts w:ascii="Times New Roman" w:hAnsi="Times New Roman" w:cs="Times New Roman"/>
          <w:spacing w:val="2"/>
          <w:szCs w:val="28"/>
        </w:rPr>
        <w:t xml:space="preserve"> Агентства.</w:t>
      </w:r>
    </w:p>
    <w:p w14:paraId="39840AB2" w14:textId="77777777" w:rsidR="004370A9" w:rsidRPr="00724817" w:rsidRDefault="004370A9" w:rsidP="003B4432">
      <w:pPr>
        <w:pStyle w:val="a4"/>
        <w:jc w:val="both"/>
        <w:rPr>
          <w:rFonts w:cs="Times New Roman"/>
        </w:rPr>
      </w:pPr>
    </w:p>
    <w:p w14:paraId="0E1B2ECD" w14:textId="77777777" w:rsidR="009A3F78" w:rsidRPr="003B4432" w:rsidRDefault="00F9517E" w:rsidP="009A3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030944">
        <w:rPr>
          <w:rFonts w:ascii="Times New Roman" w:hAnsi="Times New Roman" w:cs="Times New Roman"/>
          <w:b/>
          <w:bCs/>
        </w:rPr>
        <w:t>В раздел</w:t>
      </w:r>
      <w:r w:rsidR="00D52479">
        <w:rPr>
          <w:rFonts w:ascii="Times New Roman" w:hAnsi="Times New Roman" w:cs="Times New Roman"/>
          <w:b/>
          <w:bCs/>
        </w:rPr>
        <w:t>е</w:t>
      </w:r>
      <w:r w:rsidRPr="00030944">
        <w:rPr>
          <w:rFonts w:ascii="Times New Roman" w:hAnsi="Times New Roman" w:cs="Times New Roman"/>
          <w:b/>
          <w:bCs/>
        </w:rPr>
        <w:t xml:space="preserve"> 1.3 «Определение дефолта» </w:t>
      </w:r>
      <w:r w:rsidR="00030944" w:rsidRPr="00B52E84">
        <w:rPr>
          <w:rFonts w:ascii="Times New Roman" w:hAnsi="Times New Roman" w:cs="Times New Roman"/>
        </w:rPr>
        <w:t>уточне</w:t>
      </w:r>
      <w:r w:rsidR="00D52479" w:rsidRPr="00B52E84">
        <w:rPr>
          <w:rFonts w:ascii="Times New Roman" w:hAnsi="Times New Roman" w:cs="Times New Roman"/>
        </w:rPr>
        <w:t>на</w:t>
      </w:r>
      <w:r w:rsidR="00D52479" w:rsidRPr="004B79C7">
        <w:rPr>
          <w:rFonts w:ascii="Times New Roman" w:hAnsi="Times New Roman" w:cs="Times New Roman"/>
        </w:rPr>
        <w:t xml:space="preserve"> сноска</w:t>
      </w:r>
      <w:r w:rsidR="00D52479" w:rsidRPr="00D52479">
        <w:rPr>
          <w:rFonts w:ascii="Times New Roman" w:hAnsi="Times New Roman" w:cs="Times New Roman"/>
          <w:b/>
          <w:bCs/>
        </w:rPr>
        <w:t xml:space="preserve"> </w:t>
      </w:r>
      <w:r w:rsidR="00D52479">
        <w:rPr>
          <w:rFonts w:ascii="Times New Roman" w:hAnsi="Times New Roman" w:cs="Times New Roman"/>
        </w:rPr>
        <w:t>с определением дефолта по операциям РЕПО</w:t>
      </w:r>
      <w:r w:rsidR="009A3F78">
        <w:rPr>
          <w:rFonts w:ascii="Times New Roman" w:hAnsi="Times New Roman" w:cs="Times New Roman"/>
        </w:rPr>
        <w:t>:</w:t>
      </w:r>
    </w:p>
    <w:p w14:paraId="612F0412" w14:textId="49147F84" w:rsidR="009A3F78" w:rsidRDefault="009A3F78">
      <w:pPr>
        <w:jc w:val="both"/>
        <w:rPr>
          <w:rFonts w:ascii="Times New Roman" w:hAnsi="Times New Roman" w:cs="Times New Roman"/>
          <w:b/>
          <w:bCs/>
        </w:rPr>
      </w:pPr>
    </w:p>
    <w:p w14:paraId="625BE3A2" w14:textId="19F52E07" w:rsidR="009A3F78" w:rsidRDefault="009A3F78">
      <w:pPr>
        <w:jc w:val="both"/>
        <w:rPr>
          <w:rFonts w:ascii="Times New Roman" w:hAnsi="Times New Roman" w:cs="Times New Roman"/>
          <w:b/>
          <w:bCs/>
        </w:rPr>
      </w:pPr>
      <w:r>
        <w:t xml:space="preserve">В случае если компания не исполняет вторую часть сделки прямого </w:t>
      </w:r>
      <w:proofErr w:type="spellStart"/>
      <w:r>
        <w:t>репо</w:t>
      </w:r>
      <w:proofErr w:type="spellEnd"/>
      <w:r>
        <w:t xml:space="preserve"> (возврат привлеченных денежных средств), Агентство считает, что создается ситуация вынужденной реструктуризации долга: вместо исполнения денежного обязательства в качестве обслуживания долга кредитору передается портфель ценных бумаг. Для определения, является ли это событие дефолтом, Агентство проверяет, ухудшается ли положение кредитора в результате передачи ему портфеля ценных бумаг вместо денежной выплаты. Для этого выясняется рыночная стоимость портфеля ценных бумаг, находящегося в залоге в рамках сделки </w:t>
      </w:r>
      <w:proofErr w:type="spellStart"/>
      <w:r>
        <w:t>репо</w:t>
      </w:r>
      <w:proofErr w:type="spellEnd"/>
      <w:r>
        <w:t xml:space="preserve">. В случае, если стоимость портфеля </w:t>
      </w:r>
      <w:r w:rsidRPr="003B4432">
        <w:rPr>
          <w:u w:val="single"/>
        </w:rPr>
        <w:t>равна либо</w:t>
      </w:r>
      <w:r>
        <w:t xml:space="preserve"> превышает объем неисполненного обязательства, то Агентство не считает такую реструктуризацию ухудшающей условия для кредитора, а факт неисполнения второй части сделки </w:t>
      </w:r>
      <w:r>
        <w:rPr>
          <w:rFonts w:cs="Times"/>
        </w:rPr>
        <w:t>–</w:t>
      </w:r>
      <w:r>
        <w:t xml:space="preserve"> дефолтом. Если стоимость портфеля меньше объема неисполненного обязательства, Агентство считает, что в результате вынужденной реструктуризации условия для кредитора ухудшились, а факт неисполнения второй части сделки </w:t>
      </w:r>
      <w:proofErr w:type="spellStart"/>
      <w:r>
        <w:t>репо</w:t>
      </w:r>
      <w:proofErr w:type="spellEnd"/>
      <w:r>
        <w:t xml:space="preserve"> считает дефолтом.</w:t>
      </w:r>
    </w:p>
    <w:p w14:paraId="15A0CEAF" w14:textId="5525CD17" w:rsidR="009A3F78" w:rsidRDefault="009A3F78">
      <w:pPr>
        <w:jc w:val="both"/>
        <w:rPr>
          <w:rFonts w:ascii="Times New Roman" w:hAnsi="Times New Roman" w:cs="Times New Roman"/>
          <w:b/>
          <w:bCs/>
        </w:rPr>
      </w:pPr>
    </w:p>
    <w:p w14:paraId="27B144C7" w14:textId="38E38198" w:rsidR="00FD28BB" w:rsidRPr="00FD28BB" w:rsidRDefault="0092127A" w:rsidP="009A3F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Пункт 3 </w:t>
      </w:r>
      <w:r w:rsidR="00FD28BB">
        <w:rPr>
          <w:rFonts w:ascii="Times New Roman" w:hAnsi="Times New Roman" w:cs="Times New Roman"/>
          <w:b/>
        </w:rPr>
        <w:t>При</w:t>
      </w:r>
      <w:r w:rsidR="009A3F78">
        <w:rPr>
          <w:rFonts w:ascii="Times New Roman" w:hAnsi="Times New Roman" w:cs="Times New Roman"/>
          <w:b/>
        </w:rPr>
        <w:t>мечания</w:t>
      </w:r>
      <w:r w:rsidR="00FD28BB">
        <w:rPr>
          <w:rFonts w:ascii="Times New Roman" w:hAnsi="Times New Roman" w:cs="Times New Roman"/>
          <w:b/>
        </w:rPr>
        <w:t xml:space="preserve"> 1</w:t>
      </w:r>
      <w:r w:rsidR="00177ECD">
        <w:rPr>
          <w:rFonts w:ascii="Times New Roman" w:hAnsi="Times New Roman" w:cs="Times New Roman"/>
          <w:b/>
        </w:rPr>
        <w:t xml:space="preserve"> </w:t>
      </w:r>
      <w:r w:rsidR="00411A2D" w:rsidRPr="00A90008">
        <w:rPr>
          <w:rFonts w:ascii="Times New Roman" w:hAnsi="Times New Roman" w:cs="Times New Roman"/>
          <w:b/>
        </w:rPr>
        <w:t>раздел</w:t>
      </w:r>
      <w:r w:rsidR="00FD28BB">
        <w:rPr>
          <w:rFonts w:ascii="Times New Roman" w:hAnsi="Times New Roman" w:cs="Times New Roman"/>
          <w:b/>
        </w:rPr>
        <w:t>а</w:t>
      </w:r>
      <w:r w:rsidR="00411A2D" w:rsidRPr="00A90008">
        <w:rPr>
          <w:rFonts w:ascii="Times New Roman" w:hAnsi="Times New Roman" w:cs="Times New Roman"/>
          <w:b/>
        </w:rPr>
        <w:t xml:space="preserve"> </w:t>
      </w:r>
      <w:r w:rsidR="00FD28BB">
        <w:rPr>
          <w:rFonts w:ascii="Times New Roman" w:hAnsi="Times New Roman" w:cs="Times New Roman"/>
          <w:b/>
        </w:rPr>
        <w:t>1.4</w:t>
      </w:r>
      <w:r w:rsidR="00177ECD" w:rsidRPr="00177ECD">
        <w:rPr>
          <w:rFonts w:ascii="Times New Roman" w:hAnsi="Times New Roman" w:cs="Times New Roman"/>
          <w:b/>
        </w:rPr>
        <w:t xml:space="preserve"> </w:t>
      </w:r>
      <w:r w:rsidR="00411A2D" w:rsidRPr="00A90008">
        <w:rPr>
          <w:rFonts w:ascii="Times New Roman" w:hAnsi="Times New Roman" w:cs="Times New Roman"/>
          <w:b/>
        </w:rPr>
        <w:t>«</w:t>
      </w:r>
      <w:r w:rsidR="00177ECD">
        <w:rPr>
          <w:rFonts w:ascii="Times New Roman" w:hAnsi="Times New Roman" w:cs="Times New Roman"/>
          <w:b/>
        </w:rPr>
        <w:t>Источники информации»</w:t>
      </w:r>
      <w:r w:rsidR="00FD28BB">
        <w:rPr>
          <w:rFonts w:ascii="Times New Roman" w:hAnsi="Times New Roman" w:cs="Times New Roman"/>
          <w:b/>
        </w:rPr>
        <w:t xml:space="preserve"> </w:t>
      </w:r>
      <w:r w:rsidR="00FD28BB" w:rsidRPr="00B52E84">
        <w:rPr>
          <w:rFonts w:ascii="Times New Roman" w:hAnsi="Times New Roman" w:cs="Times New Roman"/>
          <w:bCs/>
        </w:rPr>
        <w:t>дополнен</w:t>
      </w:r>
      <w:r w:rsidR="00FD28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условиями</w:t>
      </w:r>
      <w:r w:rsidR="00FD28BB" w:rsidRPr="00FD28BB">
        <w:rPr>
          <w:rFonts w:ascii="Times New Roman" w:eastAsia="Times New Roman" w:hAnsi="Times New Roman" w:cs="Times New Roman"/>
          <w:szCs w:val="24"/>
        </w:rPr>
        <w:t xml:space="preserve"> использования консолидированной отчетности </w:t>
      </w:r>
      <w:r w:rsidR="00FD28BB">
        <w:rPr>
          <w:rFonts w:ascii="Times New Roman" w:eastAsia="Times New Roman" w:hAnsi="Times New Roman" w:cs="Times New Roman"/>
          <w:szCs w:val="24"/>
        </w:rPr>
        <w:t xml:space="preserve">для </w:t>
      </w:r>
      <w:r w:rsidR="00FD28BB" w:rsidRPr="00FD28BB">
        <w:rPr>
          <w:rFonts w:ascii="Times New Roman" w:eastAsia="Times New Roman" w:hAnsi="Times New Roman" w:cs="Times New Roman"/>
          <w:szCs w:val="24"/>
        </w:rPr>
        <w:t>присвоени</w:t>
      </w:r>
      <w:r w:rsidR="00FD28BB">
        <w:rPr>
          <w:rFonts w:ascii="Times New Roman" w:eastAsia="Times New Roman" w:hAnsi="Times New Roman" w:cs="Times New Roman"/>
          <w:szCs w:val="24"/>
        </w:rPr>
        <w:t>я рейтинга одной из компаний группы:</w:t>
      </w:r>
    </w:p>
    <w:p w14:paraId="325FA31E" w14:textId="4CCF529B" w:rsidR="008A407F" w:rsidRDefault="00365E3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A407F">
        <w:rPr>
          <w:rFonts w:ascii="Times New Roman" w:hAnsi="Times New Roman" w:cs="Times New Roman"/>
        </w:rPr>
        <w:t>сключено требование «ОР является критически значимым для группы»</w:t>
      </w:r>
      <w:r w:rsidR="00D51122" w:rsidRPr="00D51122">
        <w:rPr>
          <w:rFonts w:ascii="Times New Roman" w:hAnsi="Times New Roman" w:cs="Times New Roman"/>
        </w:rPr>
        <w:t xml:space="preserve"> (</w:t>
      </w:r>
      <w:r w:rsidR="00D51122">
        <w:rPr>
          <w:rFonts w:ascii="Times New Roman" w:hAnsi="Times New Roman" w:cs="Times New Roman"/>
        </w:rPr>
        <w:t>учтено в п.</w:t>
      </w:r>
      <w:r>
        <w:rPr>
          <w:rFonts w:ascii="Times New Roman" w:hAnsi="Times New Roman" w:cs="Times New Roman"/>
        </w:rPr>
        <w:t xml:space="preserve"> </w:t>
      </w:r>
      <w:r w:rsidR="00D51122">
        <w:rPr>
          <w:rFonts w:ascii="Times New Roman" w:hAnsi="Times New Roman" w:cs="Times New Roman"/>
        </w:rPr>
        <w:t>2 утверждаемой версии методологии)</w:t>
      </w:r>
      <w:r w:rsidR="008A407F">
        <w:rPr>
          <w:rFonts w:ascii="Times New Roman" w:hAnsi="Times New Roman" w:cs="Times New Roman"/>
        </w:rPr>
        <w:t>;</w:t>
      </w:r>
    </w:p>
    <w:p w14:paraId="432F1F60" w14:textId="48A0EFE8" w:rsidR="008A407F" w:rsidRPr="003B4432" w:rsidRDefault="00365E3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A407F">
        <w:rPr>
          <w:rFonts w:ascii="Times New Roman" w:hAnsi="Times New Roman" w:cs="Times New Roman"/>
        </w:rPr>
        <w:t>ребование по формированию денежного потока объекта рейтинга снижено с 80% до 50%;</w:t>
      </w:r>
    </w:p>
    <w:p w14:paraId="274F29F0" w14:textId="2125634F" w:rsidR="00411A2D" w:rsidRPr="00FD28BB" w:rsidRDefault="00FD28B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28BB">
        <w:rPr>
          <w:rFonts w:ascii="Times New Roman" w:eastAsia="Times New Roman" w:hAnsi="Times New Roman" w:cs="Times New Roman"/>
          <w:szCs w:val="24"/>
        </w:rPr>
        <w:t>включены условия кросс-дефолта</w:t>
      </w:r>
      <w:r>
        <w:rPr>
          <w:rFonts w:ascii="Times New Roman" w:eastAsia="Times New Roman" w:hAnsi="Times New Roman" w:cs="Times New Roman"/>
          <w:szCs w:val="24"/>
        </w:rPr>
        <w:t>;</w:t>
      </w:r>
    </w:p>
    <w:p w14:paraId="29612051" w14:textId="451E800F" w:rsidR="00FD28BB" w:rsidRPr="00FD28BB" w:rsidRDefault="009212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 xml:space="preserve">учтено </w:t>
      </w:r>
      <w:r w:rsidR="00FD28BB">
        <w:rPr>
          <w:rFonts w:ascii="Times New Roman" w:eastAsia="Times New Roman" w:hAnsi="Times New Roman" w:cs="Times New Roman"/>
          <w:szCs w:val="24"/>
        </w:rPr>
        <w:t>наличие поручительств</w:t>
      </w:r>
      <w:r w:rsidR="00815838">
        <w:rPr>
          <w:rFonts w:ascii="Times New Roman" w:eastAsia="Times New Roman" w:hAnsi="Times New Roman" w:cs="Times New Roman"/>
          <w:szCs w:val="24"/>
        </w:rPr>
        <w:t>/оферт/гарантий</w:t>
      </w:r>
      <w:r w:rsidR="00FD28BB">
        <w:rPr>
          <w:rFonts w:ascii="Times New Roman" w:eastAsia="Times New Roman" w:hAnsi="Times New Roman" w:cs="Times New Roman"/>
          <w:szCs w:val="24"/>
        </w:rPr>
        <w:t xml:space="preserve"> по долговым обязательствам </w:t>
      </w:r>
      <w:proofErr w:type="spellStart"/>
      <w:r w:rsidR="00FD28BB">
        <w:rPr>
          <w:rFonts w:ascii="Times New Roman" w:eastAsia="Times New Roman" w:hAnsi="Times New Roman" w:cs="Times New Roman"/>
          <w:szCs w:val="24"/>
        </w:rPr>
        <w:t>рейтингуемого</w:t>
      </w:r>
      <w:proofErr w:type="spellEnd"/>
      <w:r w:rsidR="00FD28BB">
        <w:rPr>
          <w:rFonts w:ascii="Times New Roman" w:eastAsia="Times New Roman" w:hAnsi="Times New Roman" w:cs="Times New Roman"/>
          <w:szCs w:val="24"/>
        </w:rPr>
        <w:t xml:space="preserve"> лица;</w:t>
      </w:r>
    </w:p>
    <w:p w14:paraId="541889CD" w14:textId="695D7B3F" w:rsidR="00FD28BB" w:rsidRPr="00FD28BB" w:rsidRDefault="0092127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 xml:space="preserve">учтено </w:t>
      </w:r>
      <w:r w:rsidR="00FD28BB">
        <w:rPr>
          <w:rFonts w:ascii="Times New Roman" w:eastAsia="Times New Roman" w:hAnsi="Times New Roman" w:cs="Times New Roman"/>
          <w:szCs w:val="24"/>
        </w:rPr>
        <w:t>наличие в группе централизованного казначейства (кэш-</w:t>
      </w:r>
      <w:proofErr w:type="spellStart"/>
      <w:r w:rsidR="00FD28BB">
        <w:rPr>
          <w:rFonts w:ascii="Times New Roman" w:eastAsia="Times New Roman" w:hAnsi="Times New Roman" w:cs="Times New Roman"/>
          <w:szCs w:val="24"/>
        </w:rPr>
        <w:t>пулинг</w:t>
      </w:r>
      <w:proofErr w:type="spellEnd"/>
      <w:r w:rsidR="00FD28BB">
        <w:rPr>
          <w:rFonts w:ascii="Times New Roman" w:eastAsia="Times New Roman" w:hAnsi="Times New Roman" w:cs="Times New Roman"/>
          <w:szCs w:val="24"/>
        </w:rPr>
        <w:t xml:space="preserve"> и/или иные инструменты управления потоками).</w:t>
      </w:r>
    </w:p>
    <w:p w14:paraId="7AE34812" w14:textId="77777777" w:rsidR="00FD28BB" w:rsidRPr="00FD28BB" w:rsidRDefault="00FD28BB">
      <w:pPr>
        <w:jc w:val="both"/>
        <w:rPr>
          <w:rFonts w:ascii="Times New Roman" w:hAnsi="Times New Roman" w:cs="Times New Roman"/>
        </w:rPr>
      </w:pPr>
    </w:p>
    <w:p w14:paraId="5A6F7D0F" w14:textId="25E53FCB" w:rsidR="008C1517" w:rsidRDefault="008C15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14E">
        <w:rPr>
          <w:rFonts w:ascii="Times New Roman" w:hAnsi="Times New Roman" w:cs="Times New Roman"/>
          <w:b/>
        </w:rPr>
        <w:t>Фактор «Качество корпоративного управления</w:t>
      </w:r>
      <w:r w:rsidR="00815838">
        <w:rPr>
          <w:rFonts w:ascii="Times New Roman" w:hAnsi="Times New Roman" w:cs="Times New Roman"/>
          <w:b/>
        </w:rPr>
        <w:t xml:space="preserve"> и ИТ-системы</w:t>
      </w:r>
      <w:r w:rsidRPr="002B214E">
        <w:rPr>
          <w:rFonts w:ascii="Times New Roman" w:hAnsi="Times New Roman" w:cs="Times New Roman"/>
          <w:b/>
        </w:rPr>
        <w:t xml:space="preserve">» </w:t>
      </w:r>
      <w:r w:rsidR="00815838">
        <w:rPr>
          <w:rFonts w:ascii="Times New Roman" w:hAnsi="Times New Roman" w:cs="Times New Roman"/>
          <w:bCs/>
        </w:rPr>
        <w:t xml:space="preserve">дополнен возможностью оценки </w:t>
      </w:r>
      <w:r w:rsidR="008527CF">
        <w:rPr>
          <w:rFonts w:ascii="Times New Roman" w:hAnsi="Times New Roman" w:cs="Times New Roman"/>
          <w:bCs/>
        </w:rPr>
        <w:t xml:space="preserve">корпоративного управления объекта рейтинга </w:t>
      </w:r>
      <w:r w:rsidR="00815838">
        <w:rPr>
          <w:rFonts w:ascii="Times New Roman" w:hAnsi="Times New Roman" w:cs="Times New Roman"/>
          <w:bCs/>
        </w:rPr>
        <w:t>на уровне</w:t>
      </w:r>
      <w:r w:rsidR="008527CF">
        <w:rPr>
          <w:rFonts w:ascii="Times New Roman" w:hAnsi="Times New Roman" w:cs="Times New Roman"/>
          <w:bCs/>
        </w:rPr>
        <w:t xml:space="preserve"> тех компаний, которые осуществляют функции корпоративного управления (например,</w:t>
      </w:r>
      <w:r w:rsidR="00815838">
        <w:rPr>
          <w:rFonts w:ascii="Times New Roman" w:hAnsi="Times New Roman" w:cs="Times New Roman"/>
          <w:bCs/>
        </w:rPr>
        <w:t xml:space="preserve"> </w:t>
      </w:r>
      <w:r w:rsidR="008527CF">
        <w:rPr>
          <w:rFonts w:ascii="Times New Roman" w:hAnsi="Times New Roman" w:cs="Times New Roman"/>
          <w:bCs/>
        </w:rPr>
        <w:t xml:space="preserve">на уровне </w:t>
      </w:r>
      <w:r w:rsidR="00815838">
        <w:rPr>
          <w:rFonts w:ascii="Times New Roman" w:hAnsi="Times New Roman" w:cs="Times New Roman"/>
          <w:bCs/>
        </w:rPr>
        <w:t xml:space="preserve">материнской структуры при анализе </w:t>
      </w:r>
      <w:r w:rsidR="008527CF">
        <w:rPr>
          <w:rFonts w:ascii="Times New Roman" w:hAnsi="Times New Roman" w:cs="Times New Roman"/>
          <w:bCs/>
        </w:rPr>
        <w:t>ее дочерних компаний)</w:t>
      </w:r>
      <w:r w:rsidR="008972DE">
        <w:rPr>
          <w:rFonts w:ascii="Times New Roman" w:hAnsi="Times New Roman" w:cs="Times New Roman"/>
        </w:rPr>
        <w:t>.</w:t>
      </w:r>
    </w:p>
    <w:p w14:paraId="2BA5509D" w14:textId="0C2B28C8" w:rsidR="005A5D68" w:rsidRDefault="005A5D68">
      <w:pPr>
        <w:jc w:val="both"/>
        <w:rPr>
          <w:rFonts w:ascii="Times New Roman" w:hAnsi="Times New Roman" w:cs="Times New Roman"/>
        </w:rPr>
      </w:pPr>
    </w:p>
    <w:p w14:paraId="022C7641" w14:textId="77777777" w:rsidR="00714683" w:rsidRPr="00714683" w:rsidRDefault="005A5D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214E">
        <w:rPr>
          <w:rFonts w:ascii="Times New Roman" w:hAnsi="Times New Roman" w:cs="Times New Roman"/>
          <w:b/>
        </w:rPr>
        <w:t>Фактор «</w:t>
      </w:r>
      <w:r w:rsidR="00815838">
        <w:rPr>
          <w:rFonts w:ascii="Times New Roman" w:hAnsi="Times New Roman" w:cs="Times New Roman"/>
          <w:b/>
        </w:rPr>
        <w:t>Качество риск-менеджмента</w:t>
      </w:r>
      <w:r w:rsidRPr="002B214E">
        <w:rPr>
          <w:rFonts w:ascii="Times New Roman" w:hAnsi="Times New Roman" w:cs="Times New Roman"/>
          <w:b/>
        </w:rPr>
        <w:t>»</w:t>
      </w:r>
      <w:r w:rsidR="00714683">
        <w:rPr>
          <w:rFonts w:ascii="Times New Roman" w:hAnsi="Times New Roman" w:cs="Times New Roman"/>
          <w:b/>
        </w:rPr>
        <w:t>:</w:t>
      </w:r>
    </w:p>
    <w:p w14:paraId="7EC16018" w14:textId="77777777" w:rsidR="00714683" w:rsidRPr="00714683" w:rsidRDefault="00714683" w:rsidP="003B4432">
      <w:pPr>
        <w:pStyle w:val="a4"/>
        <w:jc w:val="both"/>
        <w:rPr>
          <w:rFonts w:ascii="Times New Roman" w:hAnsi="Times New Roman" w:cs="Times New Roman"/>
          <w:bCs/>
        </w:rPr>
      </w:pPr>
    </w:p>
    <w:p w14:paraId="288059EA" w14:textId="1650E7BD" w:rsidR="005A5D68" w:rsidRDefault="00714683" w:rsidP="009A3F7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</w:t>
      </w:r>
      <w:r w:rsidR="00815838">
        <w:rPr>
          <w:rFonts w:ascii="Times New Roman" w:hAnsi="Times New Roman" w:cs="Times New Roman"/>
          <w:bCs/>
        </w:rPr>
        <w:t>ополнен</w:t>
      </w:r>
      <w:r>
        <w:rPr>
          <w:rFonts w:ascii="Times New Roman" w:hAnsi="Times New Roman" w:cs="Times New Roman"/>
          <w:bCs/>
        </w:rPr>
        <w:t>а</w:t>
      </w:r>
      <w:r w:rsidR="00815838">
        <w:rPr>
          <w:rFonts w:ascii="Times New Roman" w:hAnsi="Times New Roman" w:cs="Times New Roman"/>
          <w:bCs/>
        </w:rPr>
        <w:t xml:space="preserve"> возможность оценки системы управления рисками объекта рейтинга на уровне тех компаний, которые осуществляют функции по </w:t>
      </w:r>
      <w:r w:rsidR="00815838">
        <w:rPr>
          <w:rFonts w:ascii="Times New Roman" w:hAnsi="Times New Roman" w:cs="Times New Roman"/>
          <w:bCs/>
        </w:rPr>
        <w:lastRenderedPageBreak/>
        <w:t>управлению рисками объекта рейтинга (например, на уровне материнской компании)</w:t>
      </w:r>
      <w:r w:rsidR="005A5D68">
        <w:rPr>
          <w:rFonts w:ascii="Times New Roman" w:hAnsi="Times New Roman" w:cs="Times New Roman"/>
        </w:rPr>
        <w:t>.</w:t>
      </w:r>
    </w:p>
    <w:p w14:paraId="32F49ABB" w14:textId="66CD1DCB" w:rsidR="00714683" w:rsidRDefault="009A3F78" w:rsidP="009A3F7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Исключена</w:t>
      </w:r>
      <w:r w:rsidR="00714683">
        <w:rPr>
          <w:rFonts w:ascii="Times New Roman" w:hAnsi="Times New Roman" w:cs="Times New Roman"/>
        </w:rPr>
        <w:t xml:space="preserve"> возможность оценки «выполняется частично» для ряда параметров чек-листа оценки качества управления кредитными рисками ломбардов (показатели №2.1.1, 3.1, 3.4, 4.1, 4.2).</w:t>
      </w:r>
    </w:p>
    <w:p w14:paraId="021D8823" w14:textId="77777777" w:rsidR="008C1517" w:rsidRPr="008C1517" w:rsidRDefault="008C1517" w:rsidP="003B4432">
      <w:pPr>
        <w:pStyle w:val="a4"/>
        <w:jc w:val="both"/>
        <w:rPr>
          <w:rFonts w:ascii="Times New Roman" w:hAnsi="Times New Roman" w:cs="Times New Roman"/>
        </w:rPr>
      </w:pPr>
    </w:p>
    <w:p w14:paraId="4AC5B498" w14:textId="5E0E0C3F" w:rsidR="00C53518" w:rsidRPr="00B97B57" w:rsidRDefault="009F48BC" w:rsidP="009A3F78">
      <w:pPr>
        <w:pStyle w:val="a4"/>
        <w:numPr>
          <w:ilvl w:val="0"/>
          <w:numId w:val="2"/>
        </w:numPr>
        <w:jc w:val="both"/>
      </w:pPr>
      <w:r w:rsidRPr="009F48BC">
        <w:rPr>
          <w:rFonts w:cs="Times New Roman"/>
          <w:b/>
        </w:rPr>
        <w:t>В фактор</w:t>
      </w:r>
      <w:r w:rsidR="00714683">
        <w:rPr>
          <w:rFonts w:cs="Times New Roman"/>
          <w:b/>
        </w:rPr>
        <w:t>е</w:t>
      </w:r>
      <w:r w:rsidRPr="009F48BC">
        <w:rPr>
          <w:rFonts w:cs="Times New Roman"/>
          <w:b/>
        </w:rPr>
        <w:t xml:space="preserve"> «</w:t>
      </w:r>
      <w:r w:rsidR="00714683">
        <w:rPr>
          <w:rFonts w:cs="Times New Roman"/>
          <w:b/>
        </w:rPr>
        <w:t>Деловая репутация</w:t>
      </w:r>
      <w:r w:rsidRPr="009F48BC">
        <w:rPr>
          <w:rFonts w:cs="Times New Roman"/>
          <w:b/>
        </w:rPr>
        <w:t>»</w:t>
      </w:r>
      <w:r w:rsidR="00714683">
        <w:rPr>
          <w:rFonts w:cs="Times New Roman"/>
          <w:b/>
        </w:rPr>
        <w:t xml:space="preserve"> </w:t>
      </w:r>
      <w:r w:rsidR="00714683">
        <w:rPr>
          <w:rFonts w:cs="Times New Roman"/>
          <w:bCs/>
        </w:rPr>
        <w:t>изменен минимальный размер вычета с 0,5 или 1 до уровня 0,25 для условий №2, 3, 4, 6, 7, 9, 10, 11</w:t>
      </w:r>
      <w:r w:rsidR="00975843">
        <w:rPr>
          <w:rFonts w:cs="Times New Roman"/>
        </w:rPr>
        <w:t>.</w:t>
      </w:r>
    </w:p>
    <w:p w14:paraId="1DADFF97" w14:textId="77777777" w:rsidR="00C53518" w:rsidRPr="00C53518" w:rsidRDefault="00C53518" w:rsidP="003B4432">
      <w:pPr>
        <w:pStyle w:val="a4"/>
        <w:jc w:val="both"/>
        <w:rPr>
          <w:rFonts w:cs="Times New Roman"/>
        </w:rPr>
      </w:pPr>
    </w:p>
    <w:p w14:paraId="37330B90" w14:textId="40991955" w:rsidR="00C53518" w:rsidRPr="001A3E60" w:rsidRDefault="00C53518" w:rsidP="009A3F78">
      <w:pPr>
        <w:pStyle w:val="a4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  <w:r w:rsidRPr="007F7F3D">
        <w:rPr>
          <w:rFonts w:cs="Times New Roman"/>
          <w:b/>
          <w:szCs w:val="24"/>
        </w:rPr>
        <w:t>В фактор «</w:t>
      </w:r>
      <w:r w:rsidR="00714683">
        <w:rPr>
          <w:rFonts w:cs="Times New Roman"/>
          <w:b/>
          <w:szCs w:val="24"/>
        </w:rPr>
        <w:t>Рыночные и конкурентные позиции</w:t>
      </w:r>
      <w:r w:rsidRPr="007F7F3D">
        <w:rPr>
          <w:rFonts w:cs="Times New Roman"/>
          <w:b/>
          <w:szCs w:val="24"/>
        </w:rPr>
        <w:t>»</w:t>
      </w:r>
      <w:r w:rsidRPr="007F7F3D">
        <w:rPr>
          <w:rFonts w:cs="Times New Roman"/>
          <w:szCs w:val="24"/>
        </w:rPr>
        <w:t xml:space="preserve"> </w:t>
      </w:r>
      <w:r w:rsidR="00714683">
        <w:rPr>
          <w:rFonts w:cs="Times New Roman"/>
          <w:szCs w:val="24"/>
        </w:rPr>
        <w:t>внесен</w:t>
      </w:r>
      <w:r w:rsidR="008527CF">
        <w:rPr>
          <w:rFonts w:cs="Times New Roman"/>
          <w:szCs w:val="24"/>
        </w:rPr>
        <w:t>а</w:t>
      </w:r>
      <w:r w:rsidR="00714683">
        <w:rPr>
          <w:rFonts w:cs="Times New Roman"/>
          <w:szCs w:val="24"/>
        </w:rPr>
        <w:t xml:space="preserve"> техническ</w:t>
      </w:r>
      <w:r w:rsidR="008527CF">
        <w:rPr>
          <w:rFonts w:cs="Times New Roman"/>
          <w:szCs w:val="24"/>
        </w:rPr>
        <w:t>ая</w:t>
      </w:r>
      <w:r w:rsidR="00714683">
        <w:rPr>
          <w:rFonts w:cs="Times New Roman"/>
          <w:szCs w:val="24"/>
        </w:rPr>
        <w:t xml:space="preserve"> правк</w:t>
      </w:r>
      <w:r w:rsidR="008527CF">
        <w:rPr>
          <w:rFonts w:cs="Times New Roman"/>
          <w:szCs w:val="24"/>
        </w:rPr>
        <w:t xml:space="preserve">а – фактор оценивается </w:t>
      </w:r>
      <w:proofErr w:type="spellStart"/>
      <w:r w:rsidR="008527CF">
        <w:rPr>
          <w:rFonts w:cs="Times New Roman"/>
          <w:szCs w:val="24"/>
        </w:rPr>
        <w:t>экспертно</w:t>
      </w:r>
      <w:proofErr w:type="spellEnd"/>
      <w:r w:rsidR="008527CF">
        <w:rPr>
          <w:rFonts w:cs="Times New Roman"/>
          <w:szCs w:val="24"/>
        </w:rPr>
        <w:t xml:space="preserve"> для прочих финансовых компаний (за исключением ломбардов), ранее – для ломбардов и прочих финансовых компаний. Для ломбардов фактор предусматривает оценку по отдельным бенчмаркам</w:t>
      </w:r>
      <w:r w:rsidR="00286866">
        <w:rPr>
          <w:rFonts w:cs="Times New Roman"/>
          <w:szCs w:val="24"/>
        </w:rPr>
        <w:t>.</w:t>
      </w:r>
    </w:p>
    <w:p w14:paraId="3C4F66A2" w14:textId="5E07E0CD" w:rsidR="00C53518" w:rsidRDefault="00C53518">
      <w:pPr>
        <w:pStyle w:val="a4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14:paraId="1ADAC8D4" w14:textId="63C9D360" w:rsidR="006B1D40" w:rsidRPr="006B1D40" w:rsidRDefault="006B1D40">
      <w:pPr>
        <w:pStyle w:val="a4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  <w:r w:rsidRPr="007F7F3D">
        <w:rPr>
          <w:rFonts w:cs="Times New Roman"/>
          <w:b/>
          <w:szCs w:val="24"/>
        </w:rPr>
        <w:t>В фактор</w:t>
      </w:r>
      <w:r>
        <w:rPr>
          <w:rFonts w:cs="Times New Roman"/>
          <w:b/>
          <w:szCs w:val="24"/>
        </w:rPr>
        <w:t>е</w:t>
      </w:r>
      <w:r w:rsidRPr="007F7F3D">
        <w:rPr>
          <w:rFonts w:cs="Times New Roman"/>
          <w:b/>
          <w:szCs w:val="24"/>
        </w:rPr>
        <w:t xml:space="preserve"> «</w:t>
      </w:r>
      <w:r>
        <w:rPr>
          <w:rFonts w:cs="Times New Roman"/>
          <w:b/>
          <w:szCs w:val="24"/>
        </w:rPr>
        <w:t>Ликвидность</w:t>
      </w:r>
      <w:r w:rsidRPr="007F7F3D">
        <w:rPr>
          <w:rFonts w:cs="Times New Roman"/>
          <w:b/>
          <w:szCs w:val="24"/>
        </w:rPr>
        <w:t>»</w:t>
      </w:r>
      <w:r w:rsidRPr="007F7F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добавлена возможность учета в качестве источников дополнительной ликвидности планируемых размещений облигаций (если есть подтверждающие регистрационные или иные </w:t>
      </w:r>
      <w:r w:rsidR="008527CF">
        <w:rPr>
          <w:rFonts w:cs="Times New Roman"/>
          <w:szCs w:val="24"/>
        </w:rPr>
        <w:t xml:space="preserve">официальные </w:t>
      </w:r>
      <w:r>
        <w:rPr>
          <w:rFonts w:cs="Times New Roman"/>
          <w:szCs w:val="24"/>
        </w:rPr>
        <w:t>документы).</w:t>
      </w:r>
    </w:p>
    <w:p w14:paraId="32A53CE2" w14:textId="77777777" w:rsidR="006B1D40" w:rsidRPr="006B1D40" w:rsidRDefault="006B1D40" w:rsidP="003B4432">
      <w:pPr>
        <w:pStyle w:val="a4"/>
        <w:jc w:val="both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</w:p>
    <w:p w14:paraId="78225D96" w14:textId="5105DE0C" w:rsidR="00233F1D" w:rsidRPr="00233F1D" w:rsidRDefault="00777D07" w:rsidP="003B4432">
      <w:pPr>
        <w:pStyle w:val="a4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</w:t>
      </w:r>
      <w:r w:rsidR="00952CAB" w:rsidRPr="00952CAB">
        <w:rPr>
          <w:rFonts w:cs="Times New Roman"/>
          <w:b/>
          <w:szCs w:val="24"/>
        </w:rPr>
        <w:t>актор «Покрытие остатков средств клиентов по брокерскому обслуживанию высоколиквидными активами»</w:t>
      </w:r>
      <w:r w:rsidR="00952CAB" w:rsidRPr="00952CA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 в состав абсолютно ликвидных активов включены средства, размещенные в РЕПО с НКО ЦК «Национальный Клиринговый Центр» за вычетом всех средств, привлеченных в РЕПО.</w:t>
      </w:r>
    </w:p>
    <w:p w14:paraId="32329F30" w14:textId="77777777" w:rsidR="00233F1D" w:rsidRPr="00233F1D" w:rsidRDefault="00233F1D" w:rsidP="003B4432">
      <w:pPr>
        <w:pStyle w:val="a4"/>
        <w:jc w:val="both"/>
        <w:rPr>
          <w:rFonts w:cs="Times New Roman"/>
          <w:b/>
          <w:szCs w:val="24"/>
        </w:rPr>
      </w:pPr>
    </w:p>
    <w:p w14:paraId="69245736" w14:textId="7F51F4D7" w:rsidR="00233F1D" w:rsidRPr="00C755F8" w:rsidRDefault="00233F1D" w:rsidP="003B4432">
      <w:pPr>
        <w:pStyle w:val="a4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</w:t>
      </w:r>
      <w:r w:rsidRPr="00952CAB">
        <w:rPr>
          <w:rFonts w:cs="Times New Roman"/>
          <w:b/>
          <w:szCs w:val="24"/>
        </w:rPr>
        <w:t>актор «</w:t>
      </w:r>
      <w:r>
        <w:rPr>
          <w:rFonts w:cs="Times New Roman"/>
          <w:b/>
          <w:szCs w:val="24"/>
        </w:rPr>
        <w:t>Диверсификация пассивов по кредиторам</w:t>
      </w:r>
      <w:r w:rsidRPr="00952CAB">
        <w:rPr>
          <w:rFonts w:cs="Times New Roman"/>
          <w:b/>
          <w:szCs w:val="24"/>
        </w:rPr>
        <w:t>»</w:t>
      </w:r>
      <w:r w:rsidRPr="00952CAB">
        <w:rPr>
          <w:rFonts w:cs="Times New Roman"/>
          <w:szCs w:val="24"/>
        </w:rPr>
        <w:t xml:space="preserve"> </w:t>
      </w:r>
      <w:r w:rsidR="00F554FA">
        <w:rPr>
          <w:rFonts w:cs="Times New Roman"/>
          <w:szCs w:val="24"/>
        </w:rPr>
        <w:t xml:space="preserve">дополнен расширенной трактовкой по облигациям в рамках одной эмиссии </w:t>
      </w:r>
      <w:r>
        <w:rPr>
          <w:rFonts w:cs="Times New Roman"/>
          <w:szCs w:val="24"/>
        </w:rPr>
        <w:t xml:space="preserve">- </w:t>
      </w:r>
      <w:r w:rsidR="00F554FA">
        <w:rPr>
          <w:rFonts w:cs="Times New Roman"/>
          <w:szCs w:val="24"/>
        </w:rPr>
        <w:t xml:space="preserve">оценка диверсификации пассивов в случаях, когда облигации выпущены в рамках одной эмиссии, может осуществляться исходя из данных по фактическим держателям выпусков, когда у Агентства </w:t>
      </w:r>
      <w:r w:rsidR="00F554FA">
        <w:rPr>
          <w:rFonts w:ascii="Times New Roman" w:hAnsi="Times New Roman" w:cs="Times New Roman"/>
          <w:bCs/>
          <w:szCs w:val="24"/>
        </w:rPr>
        <w:t>имеется достоверная информация о конечных держателях выпусков облигаций, и выпуски облигаций характеризуются как рыночные</w:t>
      </w:r>
      <w:r>
        <w:rPr>
          <w:rFonts w:cs="Times New Roman"/>
          <w:szCs w:val="24"/>
        </w:rPr>
        <w:t>.</w:t>
      </w:r>
    </w:p>
    <w:p w14:paraId="32953401" w14:textId="77777777" w:rsidR="00C755F8" w:rsidRPr="00C755F8" w:rsidRDefault="00C755F8" w:rsidP="003B4432">
      <w:pPr>
        <w:pStyle w:val="a4"/>
        <w:jc w:val="both"/>
        <w:rPr>
          <w:rFonts w:cs="Times New Roman"/>
          <w:b/>
          <w:szCs w:val="24"/>
        </w:rPr>
      </w:pPr>
    </w:p>
    <w:p w14:paraId="062ACA07" w14:textId="648746AA" w:rsidR="00C755F8" w:rsidRPr="00C755F8" w:rsidRDefault="00C755F8" w:rsidP="003B4432">
      <w:pPr>
        <w:pStyle w:val="a4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Внутренний стресс-фактор «Ликвидность» </w:t>
      </w:r>
      <w:r w:rsidRPr="00B52E84">
        <w:rPr>
          <w:rFonts w:cs="Times New Roman"/>
          <w:bCs/>
          <w:szCs w:val="24"/>
        </w:rPr>
        <w:t>дополнен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Cs/>
          <w:szCs w:val="24"/>
        </w:rPr>
        <w:t>сноской:</w:t>
      </w:r>
    </w:p>
    <w:p w14:paraId="2FC45691" w14:textId="77777777" w:rsidR="00C755F8" w:rsidRPr="00C755F8" w:rsidRDefault="00C755F8" w:rsidP="003B4432">
      <w:pPr>
        <w:pStyle w:val="a4"/>
        <w:jc w:val="both"/>
        <w:rPr>
          <w:rFonts w:cs="Times New Roman"/>
          <w:b/>
          <w:szCs w:val="24"/>
        </w:rPr>
      </w:pPr>
    </w:p>
    <w:p w14:paraId="34AEC4E5" w14:textId="063BC338" w:rsidR="00C755F8" w:rsidRPr="00C755F8" w:rsidRDefault="00C755F8" w:rsidP="003B4432">
      <w:pPr>
        <w:pStyle w:val="a4"/>
        <w:numPr>
          <w:ilvl w:val="0"/>
          <w:numId w:val="10"/>
        </w:numPr>
        <w:jc w:val="both"/>
        <w:rPr>
          <w:rFonts w:cs="Times New Roman"/>
          <w:b/>
          <w:szCs w:val="24"/>
        </w:rPr>
      </w:pPr>
      <w:r w:rsidRPr="004616DE">
        <w:t xml:space="preserve">При отрицательном CFO </w:t>
      </w:r>
      <w:r>
        <w:t>допускается</w:t>
      </w:r>
      <w:r w:rsidRPr="004616DE">
        <w:t xml:space="preserve"> корректировать стресс-фактор за </w:t>
      </w:r>
      <w:r>
        <w:t xml:space="preserve">коэффициент </w:t>
      </w:r>
      <w:r w:rsidRPr="004616DE">
        <w:t>прогнозн</w:t>
      </w:r>
      <w:r>
        <w:t>ой</w:t>
      </w:r>
      <w:r w:rsidRPr="004616DE">
        <w:t xml:space="preserve"> ликвидност</w:t>
      </w:r>
      <w:r>
        <w:t>и</w:t>
      </w:r>
      <w:r w:rsidRPr="004616DE">
        <w:t>, исходя из принципа паритета денежных потоков, если разрыв ликвидности оценивается как маловероятный</w:t>
      </w:r>
      <w:r>
        <w:t xml:space="preserve"> (</w:t>
      </w:r>
      <w:r w:rsidRPr="004616DE">
        <w:t>в случа</w:t>
      </w:r>
      <w:r>
        <w:t>е</w:t>
      </w:r>
      <w:r w:rsidRPr="004616DE">
        <w:t xml:space="preserve"> планового роста компании, фондированного долгосрочными обязательствами</w:t>
      </w:r>
      <w:r>
        <w:t>)</w:t>
      </w:r>
      <w:r w:rsidRPr="004616DE">
        <w:t>.</w:t>
      </w:r>
    </w:p>
    <w:p w14:paraId="3DBCFE68" w14:textId="77777777" w:rsidR="00C755F8" w:rsidRPr="00C755F8" w:rsidRDefault="00C755F8" w:rsidP="003B4432">
      <w:pPr>
        <w:pStyle w:val="a4"/>
        <w:ind w:left="1440"/>
        <w:jc w:val="both"/>
        <w:rPr>
          <w:rFonts w:cs="Times New Roman"/>
          <w:b/>
          <w:szCs w:val="24"/>
        </w:rPr>
      </w:pPr>
    </w:p>
    <w:p w14:paraId="1006A0EC" w14:textId="0954433C" w:rsidR="00C755F8" w:rsidRPr="00D51122" w:rsidRDefault="00C755F8" w:rsidP="003B4432">
      <w:pPr>
        <w:pStyle w:val="a4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Внутренний стресс-фактор «Капитализация» </w:t>
      </w:r>
      <w:r w:rsidRPr="00B52E84">
        <w:rPr>
          <w:rFonts w:cs="Times New Roman"/>
          <w:bCs/>
          <w:szCs w:val="24"/>
        </w:rPr>
        <w:t>дополнен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необходимостью анализа обязательного норматива достаточности капитала (далее - НДК) для </w:t>
      </w:r>
      <w:r w:rsidRPr="00C755F8">
        <w:rPr>
          <w:rFonts w:cs="Times New Roman"/>
          <w:bCs/>
          <w:szCs w:val="24"/>
        </w:rPr>
        <w:t>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форекс-дилеров</w:t>
      </w:r>
      <w:r>
        <w:rPr>
          <w:rFonts w:cs="Times New Roman"/>
          <w:bCs/>
          <w:szCs w:val="24"/>
        </w:rPr>
        <w:t xml:space="preserve">. </w:t>
      </w:r>
      <w:r w:rsidR="001D5B5B">
        <w:rPr>
          <w:rFonts w:cs="Times New Roman"/>
          <w:bCs/>
          <w:szCs w:val="24"/>
        </w:rPr>
        <w:t>Определены</w:t>
      </w:r>
      <w:r>
        <w:rPr>
          <w:rFonts w:cs="Times New Roman"/>
          <w:bCs/>
          <w:szCs w:val="24"/>
        </w:rPr>
        <w:t xml:space="preserve"> пороговые значения НДК для случаев умеренного и сильного стресс-факторов.</w:t>
      </w:r>
    </w:p>
    <w:p w14:paraId="00A40641" w14:textId="77777777" w:rsidR="00D51122" w:rsidRPr="003B4432" w:rsidRDefault="00D51122" w:rsidP="00D51122">
      <w:pPr>
        <w:pStyle w:val="a4"/>
        <w:jc w:val="both"/>
        <w:rPr>
          <w:rFonts w:cs="Times New Roman"/>
          <w:b/>
          <w:szCs w:val="24"/>
        </w:rPr>
      </w:pPr>
    </w:p>
    <w:p w14:paraId="47FEAF9D" w14:textId="49ED612E" w:rsidR="009A3F78" w:rsidRPr="003B4432" w:rsidRDefault="009A3F78" w:rsidP="003B4432">
      <w:pPr>
        <w:pStyle w:val="a4"/>
        <w:numPr>
          <w:ilvl w:val="0"/>
          <w:numId w:val="2"/>
        </w:numPr>
        <w:jc w:val="both"/>
        <w:rPr>
          <w:rFonts w:cs="Times New Roman"/>
          <w:b/>
          <w:szCs w:val="24"/>
        </w:rPr>
      </w:pPr>
      <w:r w:rsidRPr="003B4432">
        <w:rPr>
          <w:rFonts w:cs="Times New Roman"/>
          <w:b/>
          <w:szCs w:val="24"/>
        </w:rPr>
        <w:t>Реализованы технические правки.</w:t>
      </w:r>
    </w:p>
    <w:sectPr w:rsidR="009A3F78" w:rsidRPr="003B4432" w:rsidSect="00797929">
      <w:headerReference w:type="default" r:id="rId7"/>
      <w:footerReference w:type="default" r:id="rId8"/>
      <w:footerReference w:type="first" r:id="rId9"/>
      <w:pgSz w:w="11906" w:h="16838" w:code="9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DF03E" w14:textId="77777777" w:rsidR="000C0943" w:rsidRDefault="000C0943" w:rsidP="00F63D78">
      <w:r>
        <w:separator/>
      </w:r>
    </w:p>
  </w:endnote>
  <w:endnote w:type="continuationSeparator" w:id="0">
    <w:p w14:paraId="635A7852" w14:textId="77777777" w:rsidR="000C0943" w:rsidRDefault="000C0943" w:rsidP="00F6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5136357"/>
      <w:docPartObj>
        <w:docPartGallery w:val="Page Numbers (Bottom of Page)"/>
        <w:docPartUnique/>
      </w:docPartObj>
    </w:sdtPr>
    <w:sdtEndPr/>
    <w:sdtContent>
      <w:p w14:paraId="71728C86" w14:textId="77777777" w:rsidR="00120415" w:rsidRDefault="001204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85DC6D" w14:textId="77777777" w:rsidR="00120415" w:rsidRDefault="001204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184049"/>
      <w:docPartObj>
        <w:docPartGallery w:val="Page Numbers (Bottom of Page)"/>
        <w:docPartUnique/>
      </w:docPartObj>
    </w:sdtPr>
    <w:sdtEndPr/>
    <w:sdtContent>
      <w:p w14:paraId="0D625BEA" w14:textId="77777777" w:rsidR="00006380" w:rsidRDefault="000063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CCC98" w14:textId="77777777" w:rsidR="00006380" w:rsidRDefault="000063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6B59" w14:textId="77777777" w:rsidR="000C0943" w:rsidRDefault="000C0943" w:rsidP="00F63D78">
      <w:r>
        <w:separator/>
      </w:r>
    </w:p>
  </w:footnote>
  <w:footnote w:type="continuationSeparator" w:id="0">
    <w:p w14:paraId="60152034" w14:textId="77777777" w:rsidR="000C0943" w:rsidRDefault="000C0943" w:rsidP="00F6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569D" w14:textId="77777777" w:rsidR="009373A7" w:rsidRDefault="00EF12C5" w:rsidP="008A2EB4">
    <w:pPr>
      <w:pStyle w:val="a5"/>
      <w:ind w:left="-993" w:firstLine="993"/>
      <w:rPr>
        <w:lang w:val="en-US"/>
      </w:rPr>
    </w:pPr>
  </w:p>
  <w:p w14:paraId="3F6E956F" w14:textId="77777777" w:rsidR="00CB45C5" w:rsidRPr="00CB45C5" w:rsidRDefault="00EF12C5" w:rsidP="006B2042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A01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C3C9C"/>
    <w:multiLevelType w:val="hybridMultilevel"/>
    <w:tmpl w:val="DB587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D0E21"/>
    <w:multiLevelType w:val="hybridMultilevel"/>
    <w:tmpl w:val="6B041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71164"/>
    <w:multiLevelType w:val="hybridMultilevel"/>
    <w:tmpl w:val="D32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E58B4"/>
    <w:multiLevelType w:val="hybridMultilevel"/>
    <w:tmpl w:val="626422FA"/>
    <w:lvl w:ilvl="0" w:tplc="5A6EC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545C"/>
    <w:multiLevelType w:val="hybridMultilevel"/>
    <w:tmpl w:val="3DFAF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C3A7E"/>
    <w:multiLevelType w:val="hybridMultilevel"/>
    <w:tmpl w:val="4C3288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90445B"/>
    <w:multiLevelType w:val="hybridMultilevel"/>
    <w:tmpl w:val="B24240A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00701D"/>
    <w:multiLevelType w:val="hybridMultilevel"/>
    <w:tmpl w:val="A51C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90013A"/>
    <w:multiLevelType w:val="hybridMultilevel"/>
    <w:tmpl w:val="7A7A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A3"/>
    <w:rsid w:val="00006380"/>
    <w:rsid w:val="00030944"/>
    <w:rsid w:val="00032264"/>
    <w:rsid w:val="00043494"/>
    <w:rsid w:val="00084E65"/>
    <w:rsid w:val="000A09B4"/>
    <w:rsid w:val="000A2697"/>
    <w:rsid w:val="000A3C9F"/>
    <w:rsid w:val="000A6955"/>
    <w:rsid w:val="000B7E32"/>
    <w:rsid w:val="000C0943"/>
    <w:rsid w:val="000D0DBC"/>
    <w:rsid w:val="000E5FB4"/>
    <w:rsid w:val="00120415"/>
    <w:rsid w:val="00123B44"/>
    <w:rsid w:val="00123F81"/>
    <w:rsid w:val="00136CBB"/>
    <w:rsid w:val="00144258"/>
    <w:rsid w:val="00171161"/>
    <w:rsid w:val="00177ECD"/>
    <w:rsid w:val="00181D3C"/>
    <w:rsid w:val="0018237F"/>
    <w:rsid w:val="00184E28"/>
    <w:rsid w:val="0019007A"/>
    <w:rsid w:val="001A3E60"/>
    <w:rsid w:val="001C1793"/>
    <w:rsid w:val="001C380D"/>
    <w:rsid w:val="001C4126"/>
    <w:rsid w:val="001D5B5B"/>
    <w:rsid w:val="001E538F"/>
    <w:rsid w:val="001F0302"/>
    <w:rsid w:val="001F2357"/>
    <w:rsid w:val="002334C3"/>
    <w:rsid w:val="00233F1D"/>
    <w:rsid w:val="00234845"/>
    <w:rsid w:val="0023727E"/>
    <w:rsid w:val="00286866"/>
    <w:rsid w:val="002943D0"/>
    <w:rsid w:val="002A7E0E"/>
    <w:rsid w:val="002B214E"/>
    <w:rsid w:val="002E405A"/>
    <w:rsid w:val="002F5D68"/>
    <w:rsid w:val="00315118"/>
    <w:rsid w:val="00324EE4"/>
    <w:rsid w:val="00365E30"/>
    <w:rsid w:val="00375C24"/>
    <w:rsid w:val="00377C33"/>
    <w:rsid w:val="00380ABB"/>
    <w:rsid w:val="003B4432"/>
    <w:rsid w:val="003C3D2A"/>
    <w:rsid w:val="003D03AA"/>
    <w:rsid w:val="003D4D2F"/>
    <w:rsid w:val="004077C3"/>
    <w:rsid w:val="00411A2D"/>
    <w:rsid w:val="004219D3"/>
    <w:rsid w:val="004370A9"/>
    <w:rsid w:val="00444C89"/>
    <w:rsid w:val="00453DCE"/>
    <w:rsid w:val="00472F0A"/>
    <w:rsid w:val="00480096"/>
    <w:rsid w:val="004A0E3C"/>
    <w:rsid w:val="004B03A7"/>
    <w:rsid w:val="004B0676"/>
    <w:rsid w:val="004B0B6A"/>
    <w:rsid w:val="004B5FDE"/>
    <w:rsid w:val="004B79C7"/>
    <w:rsid w:val="004D2C0F"/>
    <w:rsid w:val="004E79EE"/>
    <w:rsid w:val="004F0A1B"/>
    <w:rsid w:val="004F210C"/>
    <w:rsid w:val="005241AA"/>
    <w:rsid w:val="00532A17"/>
    <w:rsid w:val="00542FF7"/>
    <w:rsid w:val="00553A3D"/>
    <w:rsid w:val="00560D26"/>
    <w:rsid w:val="00580D51"/>
    <w:rsid w:val="005A5D68"/>
    <w:rsid w:val="005B0CDC"/>
    <w:rsid w:val="005E58A3"/>
    <w:rsid w:val="00600960"/>
    <w:rsid w:val="00604FD9"/>
    <w:rsid w:val="0061426B"/>
    <w:rsid w:val="00614F98"/>
    <w:rsid w:val="00617BA7"/>
    <w:rsid w:val="00635847"/>
    <w:rsid w:val="00656B77"/>
    <w:rsid w:val="0067490C"/>
    <w:rsid w:val="00675AE6"/>
    <w:rsid w:val="006776D2"/>
    <w:rsid w:val="00692F37"/>
    <w:rsid w:val="006A526F"/>
    <w:rsid w:val="006B1D40"/>
    <w:rsid w:val="006B594D"/>
    <w:rsid w:val="006D00B1"/>
    <w:rsid w:val="006D403C"/>
    <w:rsid w:val="006E13FE"/>
    <w:rsid w:val="007141E5"/>
    <w:rsid w:val="00714683"/>
    <w:rsid w:val="00724817"/>
    <w:rsid w:val="007248CA"/>
    <w:rsid w:val="0074184C"/>
    <w:rsid w:val="0075087C"/>
    <w:rsid w:val="00756DAC"/>
    <w:rsid w:val="0076358C"/>
    <w:rsid w:val="00764BDD"/>
    <w:rsid w:val="00777D07"/>
    <w:rsid w:val="00780E43"/>
    <w:rsid w:val="007835A2"/>
    <w:rsid w:val="00783D9A"/>
    <w:rsid w:val="007874C4"/>
    <w:rsid w:val="00797929"/>
    <w:rsid w:val="00797C7F"/>
    <w:rsid w:val="007A5FE7"/>
    <w:rsid w:val="007D13C3"/>
    <w:rsid w:val="007D39B0"/>
    <w:rsid w:val="007E4DB5"/>
    <w:rsid w:val="007F050A"/>
    <w:rsid w:val="007F3E53"/>
    <w:rsid w:val="007F7F3D"/>
    <w:rsid w:val="008020F3"/>
    <w:rsid w:val="00815838"/>
    <w:rsid w:val="0083263C"/>
    <w:rsid w:val="00837E4B"/>
    <w:rsid w:val="008527CF"/>
    <w:rsid w:val="00882665"/>
    <w:rsid w:val="00891E53"/>
    <w:rsid w:val="00896AD6"/>
    <w:rsid w:val="008972DE"/>
    <w:rsid w:val="008A407F"/>
    <w:rsid w:val="008B6323"/>
    <w:rsid w:val="008C1517"/>
    <w:rsid w:val="008D07C6"/>
    <w:rsid w:val="008D5CBF"/>
    <w:rsid w:val="008E086B"/>
    <w:rsid w:val="00904B86"/>
    <w:rsid w:val="0092127A"/>
    <w:rsid w:val="009213E5"/>
    <w:rsid w:val="00922D50"/>
    <w:rsid w:val="009428B9"/>
    <w:rsid w:val="00952CAB"/>
    <w:rsid w:val="00956409"/>
    <w:rsid w:val="00962245"/>
    <w:rsid w:val="00962FA7"/>
    <w:rsid w:val="00967AC3"/>
    <w:rsid w:val="009746A9"/>
    <w:rsid w:val="00975843"/>
    <w:rsid w:val="009760D0"/>
    <w:rsid w:val="00984A4A"/>
    <w:rsid w:val="009A346D"/>
    <w:rsid w:val="009A3F78"/>
    <w:rsid w:val="009B3186"/>
    <w:rsid w:val="009C3C93"/>
    <w:rsid w:val="009D2D16"/>
    <w:rsid w:val="009D7B50"/>
    <w:rsid w:val="009E654E"/>
    <w:rsid w:val="009F48BC"/>
    <w:rsid w:val="00A04B43"/>
    <w:rsid w:val="00A17635"/>
    <w:rsid w:val="00A24CC1"/>
    <w:rsid w:val="00A40F3E"/>
    <w:rsid w:val="00A42C1F"/>
    <w:rsid w:val="00A61A24"/>
    <w:rsid w:val="00A61AA1"/>
    <w:rsid w:val="00A61F36"/>
    <w:rsid w:val="00A6249D"/>
    <w:rsid w:val="00A73EA3"/>
    <w:rsid w:val="00A75304"/>
    <w:rsid w:val="00A83565"/>
    <w:rsid w:val="00A86D02"/>
    <w:rsid w:val="00A90008"/>
    <w:rsid w:val="00AB2489"/>
    <w:rsid w:val="00AC17B8"/>
    <w:rsid w:val="00AD0CFE"/>
    <w:rsid w:val="00AD5C7E"/>
    <w:rsid w:val="00AD5E87"/>
    <w:rsid w:val="00AE3B28"/>
    <w:rsid w:val="00B06E50"/>
    <w:rsid w:val="00B23DED"/>
    <w:rsid w:val="00B24343"/>
    <w:rsid w:val="00B52E84"/>
    <w:rsid w:val="00B62E7F"/>
    <w:rsid w:val="00B644B3"/>
    <w:rsid w:val="00B72C91"/>
    <w:rsid w:val="00B73357"/>
    <w:rsid w:val="00B766F4"/>
    <w:rsid w:val="00B82D08"/>
    <w:rsid w:val="00B83AC5"/>
    <w:rsid w:val="00BC5CDD"/>
    <w:rsid w:val="00BE292C"/>
    <w:rsid w:val="00BE332F"/>
    <w:rsid w:val="00BE63A4"/>
    <w:rsid w:val="00C06C78"/>
    <w:rsid w:val="00C31DDA"/>
    <w:rsid w:val="00C44810"/>
    <w:rsid w:val="00C5252B"/>
    <w:rsid w:val="00C53518"/>
    <w:rsid w:val="00C66C38"/>
    <w:rsid w:val="00C755F8"/>
    <w:rsid w:val="00C76094"/>
    <w:rsid w:val="00CA565B"/>
    <w:rsid w:val="00CD1945"/>
    <w:rsid w:val="00D254CE"/>
    <w:rsid w:val="00D27818"/>
    <w:rsid w:val="00D3225A"/>
    <w:rsid w:val="00D51122"/>
    <w:rsid w:val="00D52479"/>
    <w:rsid w:val="00D5446D"/>
    <w:rsid w:val="00D6026E"/>
    <w:rsid w:val="00D8549F"/>
    <w:rsid w:val="00DA1459"/>
    <w:rsid w:val="00DA1A27"/>
    <w:rsid w:val="00DC132A"/>
    <w:rsid w:val="00DC44DC"/>
    <w:rsid w:val="00DD08AA"/>
    <w:rsid w:val="00DD0C86"/>
    <w:rsid w:val="00DD47FF"/>
    <w:rsid w:val="00DF3956"/>
    <w:rsid w:val="00E13C7F"/>
    <w:rsid w:val="00E36D8F"/>
    <w:rsid w:val="00E46E95"/>
    <w:rsid w:val="00E50448"/>
    <w:rsid w:val="00E51DB9"/>
    <w:rsid w:val="00E71B7D"/>
    <w:rsid w:val="00E71E5E"/>
    <w:rsid w:val="00EA0476"/>
    <w:rsid w:val="00EB44B8"/>
    <w:rsid w:val="00EC1D71"/>
    <w:rsid w:val="00ED48AA"/>
    <w:rsid w:val="00EE4056"/>
    <w:rsid w:val="00EF12C5"/>
    <w:rsid w:val="00EF655C"/>
    <w:rsid w:val="00F10E7F"/>
    <w:rsid w:val="00F264A2"/>
    <w:rsid w:val="00F273C5"/>
    <w:rsid w:val="00F554FA"/>
    <w:rsid w:val="00F63D78"/>
    <w:rsid w:val="00F86D1C"/>
    <w:rsid w:val="00F91082"/>
    <w:rsid w:val="00F9517E"/>
    <w:rsid w:val="00FA5DB2"/>
    <w:rsid w:val="00FC7989"/>
    <w:rsid w:val="00FD28BB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674FD"/>
  <w15:chartTrackingRefBased/>
  <w15:docId w15:val="{8D2363C5-75F7-4F71-8C39-63CB621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58A3"/>
    <w:rPr>
      <w:rFonts w:eastAsia="Calibri" w:cs="Calibri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D0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3F81"/>
    <w:pPr>
      <w:keepNext/>
      <w:autoSpaceDE w:val="0"/>
      <w:autoSpaceDN w:val="0"/>
      <w:spacing w:before="240" w:after="60"/>
      <w:outlineLvl w:val="2"/>
    </w:pPr>
    <w:rPr>
      <w:rFonts w:ascii="Times New Roman" w:eastAsia="Times New Roman" w:hAnsi="Times New Roman" w:cs="Arial"/>
      <w:b/>
      <w:sz w:val="26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254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67AC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7AC3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63D78"/>
  </w:style>
  <w:style w:type="paragraph" w:styleId="a7">
    <w:name w:val="footer"/>
    <w:basedOn w:val="a0"/>
    <w:link w:val="a8"/>
    <w:uiPriority w:val="99"/>
    <w:unhideWhenUsed/>
    <w:rsid w:val="00F63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3D78"/>
  </w:style>
  <w:style w:type="paragraph" w:customStyle="1" w:styleId="RAEXdefault">
    <w:name w:val="RAEX default"/>
    <w:basedOn w:val="a0"/>
    <w:next w:val="a0"/>
    <w:link w:val="RAEXdefault0"/>
    <w:qFormat/>
    <w:rsid w:val="00617BA7"/>
    <w:pPr>
      <w:contextualSpacing/>
      <w:jc w:val="both"/>
    </w:pPr>
    <w:rPr>
      <w:rFonts w:ascii="Times New Roman" w:hAnsi="Times New Roman"/>
      <w:lang w:val="en-US"/>
    </w:rPr>
  </w:style>
  <w:style w:type="character" w:customStyle="1" w:styleId="RAEXdefault0">
    <w:name w:val="RAEX default Знак"/>
    <w:basedOn w:val="a1"/>
    <w:link w:val="RAEXdefault"/>
    <w:rsid w:val="00617BA7"/>
    <w:rPr>
      <w:rFonts w:ascii="Times New Roman" w:hAnsi="Times New Roman"/>
      <w:lang w:val="en-US"/>
    </w:rPr>
  </w:style>
  <w:style w:type="paragraph" w:styleId="a9">
    <w:name w:val="footnote text"/>
    <w:basedOn w:val="a0"/>
    <w:link w:val="aa"/>
    <w:uiPriority w:val="99"/>
    <w:unhideWhenUsed/>
    <w:rsid w:val="00797929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7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unhideWhenUsed/>
    <w:rsid w:val="00797929"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sid w:val="00A42C1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42C1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rsid w:val="00234845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  <w:style w:type="table" w:styleId="ae">
    <w:name w:val="Table Grid"/>
    <w:basedOn w:val="a2"/>
    <w:uiPriority w:val="59"/>
    <w:rsid w:val="00C3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0"/>
    <w:next w:val="a0"/>
    <w:uiPriority w:val="35"/>
    <w:unhideWhenUsed/>
    <w:qFormat/>
    <w:rsid w:val="00962FA7"/>
    <w:pPr>
      <w:spacing w:after="200"/>
    </w:pPr>
    <w:rPr>
      <w:rFonts w:eastAsiaTheme="minorHAnsi" w:cstheme="minorHAnsi"/>
      <w:b/>
      <w:bCs/>
      <w:color w:val="4F81BD" w:themeColor="accent1"/>
      <w:sz w:val="18"/>
      <w:szCs w:val="18"/>
      <w:lang w:eastAsia="en-US"/>
    </w:rPr>
  </w:style>
  <w:style w:type="paragraph" w:styleId="af0">
    <w:name w:val="annotation text"/>
    <w:basedOn w:val="a0"/>
    <w:link w:val="af1"/>
    <w:uiPriority w:val="99"/>
    <w:unhideWhenUsed/>
    <w:rsid w:val="00B23DED"/>
    <w:rPr>
      <w:rFonts w:eastAsiaTheme="minorHAnsi" w:cs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B23DED"/>
    <w:rPr>
      <w:sz w:val="20"/>
      <w:szCs w:val="20"/>
    </w:rPr>
  </w:style>
  <w:style w:type="character" w:styleId="af2">
    <w:name w:val="annotation reference"/>
    <w:basedOn w:val="a1"/>
    <w:uiPriority w:val="99"/>
    <w:semiHidden/>
    <w:unhideWhenUsed/>
    <w:rsid w:val="001F235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1F2357"/>
    <w:rPr>
      <w:rFonts w:eastAsia="Calibri" w:cs="Calibri"/>
      <w:b/>
      <w:bCs/>
      <w:lang w:eastAsia="ru-RU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1F2357"/>
    <w:rPr>
      <w:rFonts w:eastAsia="Calibri" w:cs="Calibri"/>
      <w:b/>
      <w:bCs/>
      <w:sz w:val="20"/>
      <w:szCs w:val="20"/>
      <w:lang w:eastAsia="ru-RU"/>
    </w:rPr>
  </w:style>
  <w:style w:type="paragraph" w:styleId="af5">
    <w:name w:val="Normal (Web)"/>
    <w:basedOn w:val="a0"/>
    <w:uiPriority w:val="99"/>
    <w:rsid w:val="00084E6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Заголовок 3 Знак"/>
    <w:basedOn w:val="a1"/>
    <w:link w:val="3"/>
    <w:rsid w:val="00123F81"/>
    <w:rPr>
      <w:rFonts w:ascii="Times New Roman" w:eastAsia="Times New Roman" w:hAnsi="Times New Roman" w:cs="Arial"/>
      <w:b/>
      <w:sz w:val="26"/>
      <w:szCs w:val="24"/>
      <w:lang w:eastAsia="ru-RU"/>
    </w:rPr>
  </w:style>
  <w:style w:type="paragraph" w:styleId="af6">
    <w:name w:val="Body Text"/>
    <w:basedOn w:val="a0"/>
    <w:link w:val="af7"/>
    <w:rsid w:val="00375C24"/>
    <w:pPr>
      <w:autoSpaceDE w:val="0"/>
      <w:autoSpaceDN w:val="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1"/>
    <w:link w:val="af6"/>
    <w:rsid w:val="00375C24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254C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Мусиец Марина</dc:creator>
  <cp:keywords/>
  <dc:description/>
  <cp:lastModifiedBy>Симановский Денис</cp:lastModifiedBy>
  <cp:revision>5</cp:revision>
  <cp:lastPrinted>2019-07-30T07:59:00Z</cp:lastPrinted>
  <dcterms:created xsi:type="dcterms:W3CDTF">2021-10-08T08:07:00Z</dcterms:created>
  <dcterms:modified xsi:type="dcterms:W3CDTF">2021-10-18T09:36:00Z</dcterms:modified>
</cp:coreProperties>
</file>