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72B2" w14:textId="2DED500C" w:rsidR="0079565B" w:rsidRPr="00C44E89" w:rsidRDefault="00F47703" w:rsidP="005064F9">
      <w:pPr>
        <w:pStyle w:val="1"/>
        <w:jc w:val="both"/>
      </w:pPr>
      <w:r>
        <w:t>И</w:t>
      </w:r>
      <w:r w:rsidRPr="00C44E89">
        <w:t xml:space="preserve">сторические данные об уровнях дефолта по </w:t>
      </w:r>
      <w:r>
        <w:t>рейтинговым категориям применяемых рейтинговых шкал</w:t>
      </w:r>
      <w:r w:rsidRPr="00C44E89" w:rsidDel="00F47703">
        <w:t xml:space="preserve"> </w:t>
      </w:r>
    </w:p>
    <w:p w14:paraId="12E9C2F1" w14:textId="03128A77" w:rsidR="00673A11" w:rsidRDefault="00F3022E" w:rsidP="00673A1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соответствии с требованиями п. 3 ст. 13 </w:t>
      </w:r>
      <w:r w:rsidRPr="00F3022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ого</w:t>
      </w:r>
      <w:r w:rsidRPr="00F3022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="00893BE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 13.07.2015 N 222-ФЗ «</w:t>
      </w:r>
      <w:r w:rsidRPr="00F3022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деятельности кредитных рейтинговых агентств в Российской Федерации, о внесении изменения в с</w:t>
      </w:r>
      <w:r w:rsidR="00893BE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татью 76.1 Федерального закона «</w:t>
      </w:r>
      <w:r w:rsidRPr="00F3022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Центральном банке Росс</w:t>
      </w:r>
      <w:r w:rsidR="00893BE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ийской Федерации (Банке России)»</w:t>
      </w:r>
      <w:r w:rsidRPr="00F3022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признании утратившими силу отдельных положений законодател</w:t>
      </w:r>
      <w:r w:rsidR="00893BE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ьных актов Российской Федерации»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настоящем </w:t>
      </w:r>
      <w:r w:rsidR="00F4770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отчете </w:t>
      </w:r>
      <w:r w:rsidR="0083785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</w:t>
      </w:r>
      <w:r w:rsidR="0083785E"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редитное </w:t>
      </w:r>
      <w:r w:rsidR="00673A11"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рейтинговое агентство «Эксперт РА»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(далее – Агентство) раскрывает </w:t>
      </w:r>
      <w:r w:rsidR="00673A11"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исторические данные об уровнях дефолта по </w:t>
      </w:r>
      <w:r w:rsidR="0001358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рейтинговым категориям национальной рейтинговой</w:t>
      </w:r>
      <w:r w:rsidR="00673A11"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шкал</w:t>
      </w:r>
      <w:r w:rsidR="0001358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ы</w:t>
      </w:r>
      <w:r w:rsidR="00DE040A" w:rsidRPr="00DE040A">
        <w:t xml:space="preserve"> </w:t>
      </w:r>
      <w:r w:rsidR="00DE040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Российской Федерации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применяем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ой</w:t>
      </w:r>
      <w:r w:rsidRPr="00F3022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для </w:t>
      </w:r>
      <w:r w:rsidR="006707F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присваиваемых Агентством</w:t>
      </w:r>
      <w:r w:rsidR="006707FE" w:rsidDel="006707F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кредитных рейтингов. </w:t>
      </w:r>
    </w:p>
    <w:p w14:paraId="14548A45" w14:textId="0A493905" w:rsidR="007B2C71" w:rsidRDefault="007B2C71" w:rsidP="00673A1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1AAC03CF" w14:textId="11F769B6" w:rsidR="007B2C71" w:rsidRPr="00D72B56" w:rsidRDefault="007B2C71" w:rsidP="005064F9">
      <w:pPr>
        <w:tabs>
          <w:tab w:val="left" w:pos="851"/>
        </w:tabs>
        <w:spacing w:line="276" w:lineRule="auto"/>
        <w:jc w:val="both"/>
        <w:rPr>
          <w:rStyle w:val="ab"/>
        </w:rPr>
      </w:pPr>
      <w:r w:rsidRPr="00D72B56">
        <w:rPr>
          <w:rStyle w:val="ab"/>
        </w:rPr>
        <w:t xml:space="preserve">Данные о количестве дефолтов по рейтинговым категориям за последние </w:t>
      </w:r>
      <w:r w:rsidR="005064F9" w:rsidRPr="00D72B56">
        <w:rPr>
          <w:rStyle w:val="ab"/>
        </w:rPr>
        <w:t>6 месяцев</w:t>
      </w:r>
    </w:p>
    <w:p w14:paraId="4C2674DE" w14:textId="00291FEE" w:rsidR="007B2C71" w:rsidRPr="00904332" w:rsidRDefault="007B2C71" w:rsidP="005064F9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 объектам рейтинга, имевшим кредитные рейтинги на 01.01.2018, Агентство по состоянию на 01.07.2018 зафиксировало </w:t>
      </w:r>
      <w:r w:rsidR="00904332">
        <w:rPr>
          <w:rFonts w:ascii="Times New Roman" w:hAnsi="Times New Roman" w:cs="Times New Roman"/>
          <w:szCs w:val="24"/>
        </w:rPr>
        <w:t>один случай</w:t>
      </w:r>
      <w:r>
        <w:rPr>
          <w:rFonts w:ascii="Times New Roman" w:hAnsi="Times New Roman" w:cs="Times New Roman"/>
          <w:szCs w:val="24"/>
        </w:rPr>
        <w:t xml:space="preserve"> дефолта, </w:t>
      </w:r>
      <w:r w:rsidR="00D72B56">
        <w:rPr>
          <w:rFonts w:ascii="Times New Roman" w:hAnsi="Times New Roman" w:cs="Times New Roman"/>
          <w:szCs w:val="24"/>
        </w:rPr>
        <w:t xml:space="preserve">произошедший </w:t>
      </w:r>
      <w:r>
        <w:rPr>
          <w:rFonts w:ascii="Times New Roman" w:hAnsi="Times New Roman" w:cs="Times New Roman"/>
          <w:szCs w:val="24"/>
        </w:rPr>
        <w:t xml:space="preserve">в период с 01.01.2018 по 30.06.2018. </w:t>
      </w:r>
      <w:r w:rsidR="00904332">
        <w:rPr>
          <w:rFonts w:ascii="Times New Roman" w:hAnsi="Times New Roman" w:cs="Times New Roman"/>
          <w:szCs w:val="24"/>
        </w:rPr>
        <w:t>У страхового акционерного общества «ЮЖУРАЛЖАСО» (лицензия №92) 01.02.2018 была отозвана лицензия</w:t>
      </w:r>
      <w:r w:rsidR="00E028EC" w:rsidRPr="00D72B56">
        <w:rPr>
          <w:rFonts w:ascii="Times New Roman" w:hAnsi="Times New Roman" w:cs="Times New Roman"/>
          <w:szCs w:val="24"/>
        </w:rPr>
        <w:t xml:space="preserve"> (</w:t>
      </w:r>
      <w:r w:rsidR="00E028EC">
        <w:rPr>
          <w:rFonts w:ascii="Times New Roman" w:hAnsi="Times New Roman" w:cs="Times New Roman"/>
          <w:szCs w:val="24"/>
        </w:rPr>
        <w:t>по</w:t>
      </w:r>
      <w:r w:rsidR="00904332">
        <w:rPr>
          <w:rFonts w:ascii="Times New Roman" w:hAnsi="Times New Roman" w:cs="Times New Roman"/>
          <w:szCs w:val="24"/>
        </w:rPr>
        <w:t xml:space="preserve"> состоянию на 01.01.2018 у компании действовал рейтинг </w:t>
      </w:r>
      <w:r w:rsidR="00904332">
        <w:rPr>
          <w:rFonts w:ascii="Times New Roman" w:hAnsi="Times New Roman" w:cs="Times New Roman"/>
          <w:szCs w:val="24"/>
          <w:lang w:val="en-US"/>
        </w:rPr>
        <w:t>ruCCC</w:t>
      </w:r>
      <w:r w:rsidR="00E028EC">
        <w:rPr>
          <w:rFonts w:ascii="Times New Roman" w:hAnsi="Times New Roman" w:cs="Times New Roman"/>
          <w:szCs w:val="24"/>
        </w:rPr>
        <w:t>)</w:t>
      </w:r>
      <w:r w:rsidR="00904332" w:rsidRPr="00D72B56">
        <w:rPr>
          <w:rFonts w:ascii="Times New Roman" w:hAnsi="Times New Roman" w:cs="Times New Roman"/>
          <w:szCs w:val="24"/>
        </w:rPr>
        <w:t>.</w:t>
      </w:r>
    </w:p>
    <w:p w14:paraId="1020A899" w14:textId="77777777" w:rsidR="007B2C71" w:rsidRPr="005064F9" w:rsidRDefault="007B2C71" w:rsidP="005064F9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41ADC0A" w14:textId="44BAA475" w:rsidR="007B2C71" w:rsidRDefault="007B2C71" w:rsidP="005064F9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5064F9">
        <w:rPr>
          <w:rFonts w:ascii="Times New Roman" w:hAnsi="Times New Roman" w:cs="Times New Roman"/>
          <w:b/>
          <w:szCs w:val="24"/>
        </w:rPr>
        <w:t>Особенности сбора и подготовки исходных данных для расчета</w:t>
      </w:r>
    </w:p>
    <w:p w14:paraId="226C47D3" w14:textId="58285EB6" w:rsidR="007B2C71" w:rsidRPr="00C44E89" w:rsidRDefault="007B2C71" w:rsidP="007B2C7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ровн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(частоты)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дефолта по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рейтинговым категориям</w:t>
      </w:r>
      <w:r w:rsidDel="005654C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определяются на основе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статистик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кредитным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рейтингам за период с 20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01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когда Агентство начало присваивать кредитные рейтинги. В настоящем отчете </w:t>
      </w:r>
      <w:r w:rsidR="00893BE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представлены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расчеты на основе информации за период с 2001 года по 30 июня 2018 года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14:paraId="2F0C1D5B" w14:textId="77777777" w:rsidR="007B2C71" w:rsidRPr="00C44E89" w:rsidRDefault="007B2C71" w:rsidP="007B2C7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7ECEEC45" w14:textId="474402C8" w:rsidR="007B2C71" w:rsidRPr="00C44E89" w:rsidRDefault="007B2C71" w:rsidP="007B2C7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определении уровней дефолта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учитыва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ю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ся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все 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типы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кредитных 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рейтингов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</w:t>
      </w:r>
      <w:r w:rsidR="000D60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кредитоспособности, финансовой надежности (надежности), финансовой устойчивости)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которые присваивало агентство «Эксперт РА» в рассматриваемый период, кроме рейтингов долговых инструментов (во избежание дублирования, т.к. </w:t>
      </w:r>
      <w:r w:rsidR="000D60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почти во всех случаях одновременно с рейтингом долгового инструмента действовал кредитный рейтинг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эмитента</w:t>
      </w:r>
      <w:r w:rsidR="000D60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том же уровне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  <w:r w:rsidR="006707F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расчетах учтена информация только </w:t>
      </w:r>
      <w:r w:rsidR="006707FE">
        <w:rPr>
          <w:lang w:eastAsia="ru-RU"/>
        </w:rPr>
        <w:t xml:space="preserve">по объектам рейтинга, относящимся к области применения национальной рейтинговой шкалы </w:t>
      </w:r>
      <w:r w:rsidR="006707F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Российской Федерации.</w:t>
      </w:r>
    </w:p>
    <w:p w14:paraId="4972E3BF" w14:textId="741357A1" w:rsidR="007B2C71" w:rsidRDefault="007B2C71" w:rsidP="007B2C7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Для расчета исторической однолетней </w:t>
      </w:r>
      <w:r w:rsidR="000D60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частоты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дефолт</w:t>
      </w:r>
      <w:r w:rsidR="000D60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рейтинговой категории используются </w:t>
      </w:r>
      <w:r w:rsidR="000D60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данные о числе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рейтинг</w:t>
      </w:r>
      <w:r w:rsidR="000D60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 начало каждого календарного года и факты дефолта </w:t>
      </w:r>
      <w:r w:rsidR="000D60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течение рассматриваемого периода</w:t>
      </w:r>
      <w:r w:rsidR="006707F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(в</w:t>
      </w:r>
      <w:r w:rsidR="000D60E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настоящем отчете 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2018 году учитываются дефолты, произошедшие до 01.07.2018</w:t>
      </w:r>
      <w:r w:rsidR="006707F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Аналогичным образом рассчитываются двухлетние и трехлетние исторические вероятности дефолта.</w:t>
      </w:r>
      <w:r w:rsidRPr="0031621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этом, поскольку первые кредитные рейтинги агентство «Эксперт РА» присвоило летом 2001 года, первая годовая дата в расчетах – 01.01.2002.</w:t>
      </w:r>
    </w:p>
    <w:p w14:paraId="75262FDB" w14:textId="0B3EC106" w:rsidR="006707FE" w:rsidRDefault="006707FE" w:rsidP="006707FE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Поняти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я дефолта, правила 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я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даты его наступления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а также области применения методологии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 рейтинговой шкалы раскрыты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методологи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ях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присвоения соответствующ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их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тип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ов</w:t>
      </w:r>
      <w:r w:rsidRPr="00C44E8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рейтинга.</w:t>
      </w:r>
    </w:p>
    <w:p w14:paraId="5FFA2E1D" w14:textId="6E8492F3" w:rsidR="000D60E5" w:rsidRDefault="00893BEA" w:rsidP="000D60E5">
      <w:pPr>
        <w:pStyle w:val="RAEXdefault"/>
        <w:rPr>
          <w:lang w:val="ru-RU" w:eastAsia="ru-RU"/>
        </w:rPr>
      </w:pPr>
      <w:r>
        <w:rPr>
          <w:lang w:val="ru-RU" w:eastAsia="ru-RU"/>
        </w:rPr>
        <w:t>Е</w:t>
      </w:r>
      <w:r w:rsidR="000D60E5">
        <w:rPr>
          <w:lang w:val="ru-RU" w:eastAsia="ru-RU"/>
        </w:rPr>
        <w:t>сли рейтинг присв</w:t>
      </w:r>
      <w:r w:rsidR="00BD67F7">
        <w:rPr>
          <w:lang w:val="ru-RU" w:eastAsia="ru-RU"/>
        </w:rPr>
        <w:t xml:space="preserve">оен </w:t>
      </w:r>
      <w:r w:rsidR="000D60E5">
        <w:rPr>
          <w:lang w:val="ru-RU" w:eastAsia="ru-RU"/>
        </w:rPr>
        <w:t>в течение года</w:t>
      </w:r>
      <w:r>
        <w:rPr>
          <w:lang w:val="ru-RU" w:eastAsia="ru-RU"/>
        </w:rPr>
        <w:t>,</w:t>
      </w:r>
      <w:r w:rsidR="000D60E5">
        <w:rPr>
          <w:lang w:val="ru-RU" w:eastAsia="ru-RU"/>
        </w:rPr>
        <w:t xml:space="preserve"> и в том же году допу</w:t>
      </w:r>
      <w:r w:rsidR="00BD67F7">
        <w:rPr>
          <w:lang w:val="ru-RU" w:eastAsia="ru-RU"/>
        </w:rPr>
        <w:t>щен</w:t>
      </w:r>
      <w:r w:rsidR="000D60E5">
        <w:rPr>
          <w:lang w:val="ru-RU" w:eastAsia="ru-RU"/>
        </w:rPr>
        <w:t xml:space="preserve"> дефолт, то для </w:t>
      </w:r>
      <w:r w:rsidR="00BD67F7">
        <w:rPr>
          <w:lang w:val="ru-RU" w:eastAsia="ru-RU"/>
        </w:rPr>
        <w:t xml:space="preserve">такого объекта рейтинга </w:t>
      </w:r>
      <w:r w:rsidR="000D60E5">
        <w:rPr>
          <w:lang w:val="ru-RU" w:eastAsia="ru-RU"/>
        </w:rPr>
        <w:t xml:space="preserve">учитывался впервые присвоенный рейтинг. Дефолтные рейтинги, действовавшие от момента признания Агентством дефолта до момента отзыва рейтинга, не учитывались </w:t>
      </w:r>
      <w:r>
        <w:rPr>
          <w:lang w:val="ru-RU" w:eastAsia="ru-RU"/>
        </w:rPr>
        <w:t>при подсчете числа действующих рейтингов</w:t>
      </w:r>
      <w:r w:rsidR="000D60E5">
        <w:rPr>
          <w:lang w:val="ru-RU" w:eastAsia="ru-RU"/>
        </w:rPr>
        <w:t>. Также</w:t>
      </w:r>
      <w:r w:rsidR="00BD67F7">
        <w:rPr>
          <w:lang w:val="ru-RU" w:eastAsia="ru-RU"/>
        </w:rPr>
        <w:t xml:space="preserve"> во избежание дублирования</w:t>
      </w:r>
      <w:r w:rsidR="000D60E5">
        <w:rPr>
          <w:lang w:val="ru-RU" w:eastAsia="ru-RU"/>
        </w:rPr>
        <w:t xml:space="preserve"> из выборки исключались рейтинги головных компаний групп, если </w:t>
      </w:r>
      <w:r>
        <w:rPr>
          <w:lang w:val="ru-RU" w:eastAsia="ru-RU"/>
        </w:rPr>
        <w:t>на эту дату</w:t>
      </w:r>
      <w:r w:rsidR="000D60E5">
        <w:rPr>
          <w:lang w:val="ru-RU" w:eastAsia="ru-RU"/>
        </w:rPr>
        <w:t xml:space="preserve"> действовал </w:t>
      </w:r>
      <w:r>
        <w:rPr>
          <w:lang w:val="ru-RU" w:eastAsia="ru-RU"/>
        </w:rPr>
        <w:t xml:space="preserve">также </w:t>
      </w:r>
      <w:r w:rsidR="000D60E5">
        <w:rPr>
          <w:lang w:val="ru-RU" w:eastAsia="ru-RU"/>
        </w:rPr>
        <w:t>рейтинг группы</w:t>
      </w:r>
      <w:r>
        <w:rPr>
          <w:lang w:val="ru-RU" w:eastAsia="ru-RU"/>
        </w:rPr>
        <w:t xml:space="preserve"> компаний</w:t>
      </w:r>
      <w:r w:rsidR="000D60E5">
        <w:rPr>
          <w:lang w:val="ru-RU" w:eastAsia="ru-RU"/>
        </w:rPr>
        <w:t>.</w:t>
      </w:r>
    </w:p>
    <w:p w14:paraId="1BC8005B" w14:textId="38561BF7" w:rsidR="000D60E5" w:rsidRDefault="000D60E5" w:rsidP="000D60E5">
      <w:pPr>
        <w:jc w:val="both"/>
        <w:rPr>
          <w:lang w:eastAsia="ru-RU"/>
        </w:rPr>
      </w:pPr>
      <w:r>
        <w:rPr>
          <w:lang w:eastAsia="ru-RU"/>
        </w:rPr>
        <w:lastRenderedPageBreak/>
        <w:t>В течение 2017 года Агентством была принята новая национальная рейтинговая шкала</w:t>
      </w:r>
      <w:r w:rsidRPr="00DE040A">
        <w:t xml:space="preserve"> </w:t>
      </w:r>
      <w:r w:rsidRPr="00DE040A">
        <w:rPr>
          <w:lang w:eastAsia="ru-RU"/>
        </w:rPr>
        <w:t xml:space="preserve">для Российской Федерации </w:t>
      </w:r>
      <w:r>
        <w:rPr>
          <w:lang w:eastAsia="ru-RU"/>
        </w:rPr>
        <w:t>по всем кредитным методологиям (переход на новую шкалу по всем методологиям, кроме МФО, завершился в 2017 году, по рейтингам МФО – в 2018 году)</w:t>
      </w:r>
      <w:r w:rsidR="00BD67F7">
        <w:rPr>
          <w:lang w:eastAsia="ru-RU"/>
        </w:rPr>
        <w:t>, поэтому ранее присвоенны</w:t>
      </w:r>
      <w:r w:rsidR="00893BEA">
        <w:rPr>
          <w:lang w:eastAsia="ru-RU"/>
        </w:rPr>
        <w:t>е</w:t>
      </w:r>
      <w:r w:rsidR="00BD67F7">
        <w:rPr>
          <w:lang w:eastAsia="ru-RU"/>
        </w:rPr>
        <w:t xml:space="preserve"> рейтинг</w:t>
      </w:r>
      <w:r w:rsidR="00893BEA">
        <w:rPr>
          <w:lang w:eastAsia="ru-RU"/>
        </w:rPr>
        <w:t>и</w:t>
      </w:r>
      <w:r>
        <w:rPr>
          <w:lang w:eastAsia="ru-RU"/>
        </w:rPr>
        <w:t xml:space="preserve"> </w:t>
      </w:r>
      <w:r w:rsidR="00893BEA">
        <w:rPr>
          <w:lang w:eastAsia="ru-RU"/>
        </w:rPr>
        <w:t>переводились</w:t>
      </w:r>
      <w:r>
        <w:rPr>
          <w:lang w:eastAsia="ru-RU"/>
        </w:rPr>
        <w:t xml:space="preserve"> на новую шкалу. </w:t>
      </w:r>
      <w:r w:rsidR="00BD67F7">
        <w:rPr>
          <w:lang w:eastAsia="ru-RU"/>
        </w:rPr>
        <w:t xml:space="preserve">Правила </w:t>
      </w:r>
      <w:r w:rsidR="00893BEA">
        <w:rPr>
          <w:lang w:eastAsia="ru-RU"/>
        </w:rPr>
        <w:t>перевода</w:t>
      </w:r>
      <w:r w:rsidR="00BD67F7">
        <w:rPr>
          <w:lang w:eastAsia="ru-RU"/>
        </w:rPr>
        <w:t xml:space="preserve"> определены на основе</w:t>
      </w:r>
      <w:r>
        <w:rPr>
          <w:lang w:eastAsia="ru-RU"/>
        </w:rPr>
        <w:t xml:space="preserve"> сравнения диапазонов рейтинговых чисел</w:t>
      </w:r>
      <w:r w:rsidR="00893BEA">
        <w:rPr>
          <w:lang w:eastAsia="ru-RU"/>
        </w:rPr>
        <w:t xml:space="preserve"> (раскрыты в методологиях на сайте Агентства)</w:t>
      </w:r>
      <w:r>
        <w:rPr>
          <w:lang w:eastAsia="ru-RU"/>
        </w:rPr>
        <w:t>, соответствующих рейтинг</w:t>
      </w:r>
      <w:r w:rsidR="00BD67F7">
        <w:rPr>
          <w:lang w:eastAsia="ru-RU"/>
        </w:rPr>
        <w:t>овым категориям старой и новой шкал</w:t>
      </w:r>
      <w:r>
        <w:rPr>
          <w:lang w:eastAsia="ru-RU"/>
        </w:rPr>
        <w:t xml:space="preserve">, и выбора </w:t>
      </w:r>
      <w:r w:rsidR="00BD67F7">
        <w:rPr>
          <w:lang w:eastAsia="ru-RU"/>
        </w:rPr>
        <w:t xml:space="preserve">пар </w:t>
      </w:r>
      <w:r>
        <w:rPr>
          <w:lang w:eastAsia="ru-RU"/>
        </w:rPr>
        <w:t>рейтингов</w:t>
      </w:r>
      <w:r w:rsidR="00BD67F7">
        <w:rPr>
          <w:lang w:eastAsia="ru-RU"/>
        </w:rPr>
        <w:t>ых</w:t>
      </w:r>
      <w:r>
        <w:rPr>
          <w:lang w:eastAsia="ru-RU"/>
        </w:rPr>
        <w:t xml:space="preserve"> категори</w:t>
      </w:r>
      <w:r w:rsidR="00BD67F7">
        <w:rPr>
          <w:lang w:eastAsia="ru-RU"/>
        </w:rPr>
        <w:t>й</w:t>
      </w:r>
      <w:r>
        <w:rPr>
          <w:lang w:eastAsia="ru-RU"/>
        </w:rPr>
        <w:t xml:space="preserve"> с наибольшим перекрытием диапазонов чисел. Для рейтингов </w:t>
      </w:r>
      <w:r>
        <w:rPr>
          <w:lang w:val="en-US" w:eastAsia="ru-RU"/>
        </w:rPr>
        <w:t>A</w:t>
      </w:r>
      <w:r w:rsidRPr="00A9647B">
        <w:rPr>
          <w:lang w:eastAsia="ru-RU"/>
        </w:rPr>
        <w:t>++</w:t>
      </w:r>
      <w:r w:rsidR="00BD67F7">
        <w:rPr>
          <w:lang w:eastAsia="ru-RU"/>
        </w:rPr>
        <w:t>, для которы</w:t>
      </w:r>
      <w:r w:rsidR="00893BEA">
        <w:rPr>
          <w:lang w:eastAsia="ru-RU"/>
        </w:rPr>
        <w:t>х</w:t>
      </w:r>
      <w:r w:rsidR="00BD67F7">
        <w:rPr>
          <w:lang w:eastAsia="ru-RU"/>
        </w:rPr>
        <w:t xml:space="preserve"> описанный выше подход не применим,</w:t>
      </w:r>
      <w:r w:rsidRPr="00A9647B">
        <w:rPr>
          <w:lang w:eastAsia="ru-RU"/>
        </w:rPr>
        <w:t xml:space="preserve"> </w:t>
      </w:r>
      <w:r>
        <w:rPr>
          <w:lang w:eastAsia="ru-RU"/>
        </w:rPr>
        <w:t>производилось сравнение рейтингового числа на соответствующую дату с уровнем 0,85 (для случаев, когда применявшаяся методология имела специфические правила перевода рейтингового числа в рейтинг, предварительно проводилось преобразование</w:t>
      </w:r>
      <w:r w:rsidR="00BD67F7">
        <w:rPr>
          <w:lang w:eastAsia="ru-RU"/>
        </w:rPr>
        <w:t xml:space="preserve"> рейтингового числа в диапазон </w:t>
      </w:r>
      <w:r>
        <w:rPr>
          <w:lang w:eastAsia="ru-RU"/>
        </w:rPr>
        <w:t xml:space="preserve">от -1 до 1). Правила </w:t>
      </w:r>
      <w:r w:rsidR="00893BEA">
        <w:rPr>
          <w:lang w:eastAsia="ru-RU"/>
        </w:rPr>
        <w:t>перевода</w:t>
      </w:r>
      <w:r>
        <w:rPr>
          <w:lang w:eastAsia="ru-RU"/>
        </w:rPr>
        <w:t xml:space="preserve"> представлены в таблице </w:t>
      </w:r>
      <w:r w:rsidR="00B85661" w:rsidRPr="00D72B56">
        <w:rPr>
          <w:lang w:eastAsia="ru-RU"/>
        </w:rPr>
        <w:t>1</w:t>
      </w:r>
      <w:r>
        <w:rPr>
          <w:lang w:eastAsia="ru-RU"/>
        </w:rPr>
        <w:t xml:space="preserve">. В таблице отдельно предусмотрены случаи, когда в категориях А и А+ (по старой шкале) нет подуровней, т.к. подуровни были введены после 2010 года и часть </w:t>
      </w:r>
      <w:r w:rsidR="00BD67F7">
        <w:rPr>
          <w:lang w:eastAsia="ru-RU"/>
        </w:rPr>
        <w:t xml:space="preserve">исходных </w:t>
      </w:r>
      <w:r>
        <w:rPr>
          <w:lang w:eastAsia="ru-RU"/>
        </w:rPr>
        <w:t xml:space="preserve">данных не содержит подуровней. </w:t>
      </w:r>
      <w:r w:rsidR="00BD67F7">
        <w:rPr>
          <w:lang w:eastAsia="ru-RU"/>
        </w:rPr>
        <w:t xml:space="preserve">Аналогичный подход использован для </w:t>
      </w:r>
      <w:r>
        <w:rPr>
          <w:lang w:eastAsia="ru-RU"/>
        </w:rPr>
        <w:t>рейтингов надежности микрофинансовых организаций</w:t>
      </w:r>
      <w:r w:rsidR="00BD67F7">
        <w:rPr>
          <w:lang w:eastAsia="ru-RU"/>
        </w:rPr>
        <w:t xml:space="preserve">, которые ранее присваивались по отдельной шкале, соответствующие правила </w:t>
      </w:r>
      <w:r w:rsidR="00893BEA">
        <w:rPr>
          <w:lang w:eastAsia="ru-RU"/>
        </w:rPr>
        <w:t>перевода</w:t>
      </w:r>
      <w:r w:rsidR="00BD67F7">
        <w:rPr>
          <w:lang w:eastAsia="ru-RU"/>
        </w:rPr>
        <w:t xml:space="preserve"> </w:t>
      </w:r>
      <w:r>
        <w:rPr>
          <w:lang w:eastAsia="ru-RU"/>
        </w:rPr>
        <w:t xml:space="preserve">представлены в таблице </w:t>
      </w:r>
      <w:r w:rsidR="00B85661" w:rsidRPr="00D72B56">
        <w:rPr>
          <w:lang w:eastAsia="ru-RU"/>
        </w:rPr>
        <w:t>2</w:t>
      </w:r>
      <w:r>
        <w:rPr>
          <w:lang w:eastAsia="ru-RU"/>
        </w:rPr>
        <w:t>.</w:t>
      </w:r>
    </w:p>
    <w:p w14:paraId="62C25329" w14:textId="77777777" w:rsidR="000D60E5" w:rsidRDefault="000D60E5" w:rsidP="000D60E5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53FD3D43" w14:textId="16FEE9E0" w:rsidR="000D60E5" w:rsidRDefault="000D60E5" w:rsidP="000D60E5">
      <w:pPr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Таблица </w:t>
      </w:r>
      <w:r w:rsidR="00B85661" w:rsidRPr="00893BE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1</w:t>
      </w:r>
      <w:r w:rsidRPr="00C44E8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. </w:t>
      </w:r>
      <w:r w:rsidR="00893BE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Правила перевода в новую рейтинговую шкалу (кроме рейтингов МФО)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0D60E5" w14:paraId="352837F1" w14:textId="77777777" w:rsidTr="007E1442">
        <w:tc>
          <w:tcPr>
            <w:tcW w:w="5098" w:type="dxa"/>
          </w:tcPr>
          <w:p w14:paraId="3524065D" w14:textId="77777777" w:rsidR="000D60E5" w:rsidRPr="007E1442" w:rsidRDefault="000D60E5" w:rsidP="007E1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Рейтинг по старой шкале</w:t>
            </w:r>
          </w:p>
        </w:tc>
        <w:tc>
          <w:tcPr>
            <w:tcW w:w="4962" w:type="dxa"/>
          </w:tcPr>
          <w:p w14:paraId="4214DB27" w14:textId="77777777" w:rsidR="000D60E5" w:rsidRPr="007E1442" w:rsidRDefault="000D60E5" w:rsidP="007E1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Рейтинговая категория по новой шкале</w:t>
            </w:r>
          </w:p>
        </w:tc>
      </w:tr>
      <w:tr w:rsidR="000D60E5" w14:paraId="679363AE" w14:textId="77777777" w:rsidTr="007E1442">
        <w:tc>
          <w:tcPr>
            <w:tcW w:w="5098" w:type="dxa"/>
          </w:tcPr>
          <w:p w14:paraId="62F6EB0C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 w:rsidRPr="00A9647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A++</w:t>
            </w:r>
          </w:p>
        </w:tc>
        <w:tc>
          <w:tcPr>
            <w:tcW w:w="4962" w:type="dxa"/>
          </w:tcPr>
          <w:p w14:paraId="35A404AD" w14:textId="72F64D87" w:rsidR="000D60E5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9647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AAA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</w:t>
            </w:r>
            <w:r w:rsidRPr="00A9647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если рейтинговое число ≥ 0,85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и приведении к </w:t>
            </w:r>
            <w:r w:rsidR="00E028E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диапазону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от -1 до 1;</w:t>
            </w:r>
          </w:p>
          <w:p w14:paraId="7054281A" w14:textId="0287ED7A" w:rsidR="000D60E5" w:rsidRPr="00A9647B" w:rsidRDefault="007E1442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 xml:space="preserve">AA </w:t>
            </w:r>
            <w:r w:rsidR="000D60E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 xml:space="preserve"> </w:t>
            </w:r>
            <w:r w:rsidR="000D60E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 остальных случаях</w:t>
            </w:r>
            <w:bookmarkStart w:id="0" w:name="_GoBack"/>
            <w:bookmarkEnd w:id="0"/>
          </w:p>
        </w:tc>
      </w:tr>
      <w:tr w:rsidR="000D60E5" w14:paraId="577138A8" w14:textId="77777777" w:rsidTr="007E1442">
        <w:tc>
          <w:tcPr>
            <w:tcW w:w="5098" w:type="dxa"/>
          </w:tcPr>
          <w:p w14:paraId="1C63FC54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A+(I)</w:t>
            </w:r>
          </w:p>
        </w:tc>
        <w:tc>
          <w:tcPr>
            <w:tcW w:w="4962" w:type="dxa"/>
          </w:tcPr>
          <w:p w14:paraId="42D3EE7E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AA</w:t>
            </w:r>
          </w:p>
        </w:tc>
      </w:tr>
      <w:tr w:rsidR="000D60E5" w14:paraId="37E30F8F" w14:textId="77777777" w:rsidTr="007E1442">
        <w:tc>
          <w:tcPr>
            <w:tcW w:w="5098" w:type="dxa"/>
          </w:tcPr>
          <w:p w14:paraId="2D97598D" w14:textId="77777777" w:rsidR="000D60E5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A+ (II), A+ (III),</w:t>
            </w:r>
          </w:p>
          <w:p w14:paraId="22534BDE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A+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без подуровня)</w:t>
            </w:r>
          </w:p>
        </w:tc>
        <w:tc>
          <w:tcPr>
            <w:tcW w:w="4962" w:type="dxa"/>
          </w:tcPr>
          <w:p w14:paraId="70924EB9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</w:t>
            </w:r>
          </w:p>
        </w:tc>
      </w:tr>
      <w:tr w:rsidR="000D60E5" w:rsidRPr="00A9647B" w14:paraId="2615215D" w14:textId="77777777" w:rsidTr="007E1442">
        <w:tc>
          <w:tcPr>
            <w:tcW w:w="5098" w:type="dxa"/>
          </w:tcPr>
          <w:p w14:paraId="1CD8C0A3" w14:textId="10EDE3FE" w:rsidR="000D60E5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 (I), A (II),</w:t>
            </w:r>
          </w:p>
          <w:p w14:paraId="4262DEF8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без</w:t>
            </w:r>
            <w:r w:rsidRPr="00A9647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подуровня</w:t>
            </w:r>
            <w:r w:rsidRPr="00A9647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)</w:t>
            </w:r>
          </w:p>
        </w:tc>
        <w:tc>
          <w:tcPr>
            <w:tcW w:w="4962" w:type="dxa"/>
          </w:tcPr>
          <w:p w14:paraId="66109AF2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BBB</w:t>
            </w:r>
          </w:p>
        </w:tc>
      </w:tr>
      <w:tr w:rsidR="000D60E5" w:rsidRPr="00A9647B" w14:paraId="1805F206" w14:textId="77777777" w:rsidTr="007E1442">
        <w:tc>
          <w:tcPr>
            <w:tcW w:w="5098" w:type="dxa"/>
          </w:tcPr>
          <w:p w14:paraId="13ADB266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 (III)</w:t>
            </w:r>
          </w:p>
        </w:tc>
        <w:tc>
          <w:tcPr>
            <w:tcW w:w="4962" w:type="dxa"/>
          </w:tcPr>
          <w:p w14:paraId="09A19CB8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BB</w:t>
            </w:r>
          </w:p>
        </w:tc>
      </w:tr>
      <w:tr w:rsidR="000D60E5" w:rsidRPr="00A9647B" w14:paraId="77FFC663" w14:textId="77777777" w:rsidTr="007E1442">
        <w:tc>
          <w:tcPr>
            <w:tcW w:w="5098" w:type="dxa"/>
          </w:tcPr>
          <w:p w14:paraId="372285FB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B++, B+</w:t>
            </w:r>
          </w:p>
        </w:tc>
        <w:tc>
          <w:tcPr>
            <w:tcW w:w="4962" w:type="dxa"/>
          </w:tcPr>
          <w:p w14:paraId="427AB1B2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</w:t>
            </w:r>
          </w:p>
        </w:tc>
      </w:tr>
      <w:tr w:rsidR="000D60E5" w:rsidRPr="00A9647B" w14:paraId="29943182" w14:textId="77777777" w:rsidTr="007E1442">
        <w:tc>
          <w:tcPr>
            <w:tcW w:w="5098" w:type="dxa"/>
          </w:tcPr>
          <w:p w14:paraId="2A6AC42B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</w:t>
            </w:r>
          </w:p>
        </w:tc>
        <w:tc>
          <w:tcPr>
            <w:tcW w:w="4962" w:type="dxa"/>
          </w:tcPr>
          <w:p w14:paraId="5CF4775E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CCC</w:t>
            </w:r>
          </w:p>
        </w:tc>
      </w:tr>
      <w:tr w:rsidR="000D60E5" w:rsidRPr="00A9647B" w14:paraId="511DFC2E" w14:textId="77777777" w:rsidTr="007E1442">
        <w:tc>
          <w:tcPr>
            <w:tcW w:w="5098" w:type="dxa"/>
          </w:tcPr>
          <w:p w14:paraId="353C1255" w14:textId="77777777" w:rsidR="000D60E5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C++, C+</w:t>
            </w:r>
          </w:p>
        </w:tc>
        <w:tc>
          <w:tcPr>
            <w:tcW w:w="4962" w:type="dxa"/>
          </w:tcPr>
          <w:p w14:paraId="5C981301" w14:textId="77777777" w:rsidR="000D60E5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CC</w:t>
            </w:r>
          </w:p>
        </w:tc>
      </w:tr>
    </w:tbl>
    <w:p w14:paraId="0660635B" w14:textId="77777777" w:rsidR="000D60E5" w:rsidRDefault="000D60E5" w:rsidP="000D60E5">
      <w:pPr>
        <w:rPr>
          <w:rStyle w:val="ab"/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A5BC0EC" w14:textId="676D2F9B" w:rsidR="00893BEA" w:rsidRDefault="000D60E5" w:rsidP="00893BEA">
      <w:pPr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Таблица </w:t>
      </w:r>
      <w:r w:rsidR="00B85661" w:rsidRPr="00D72B5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2</w:t>
      </w:r>
      <w:r w:rsidRPr="00C44E8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. </w:t>
      </w:r>
      <w:r w:rsidR="00893BEA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Правила перевода в новую рейтинговую шкалу для рейтингов МФО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0D60E5" w14:paraId="75065DF2" w14:textId="77777777" w:rsidTr="007E1442">
        <w:tc>
          <w:tcPr>
            <w:tcW w:w="5098" w:type="dxa"/>
          </w:tcPr>
          <w:p w14:paraId="63B71863" w14:textId="77777777" w:rsidR="000D60E5" w:rsidRPr="007E1442" w:rsidRDefault="000D60E5" w:rsidP="007E1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Рейтинг по старой шкале</w:t>
            </w:r>
          </w:p>
        </w:tc>
        <w:tc>
          <w:tcPr>
            <w:tcW w:w="4962" w:type="dxa"/>
          </w:tcPr>
          <w:p w14:paraId="022F8B79" w14:textId="77777777" w:rsidR="000D60E5" w:rsidRPr="007E1442" w:rsidRDefault="000D60E5" w:rsidP="007E1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Рейтинговая категория по новой шкале</w:t>
            </w:r>
          </w:p>
        </w:tc>
      </w:tr>
      <w:tr w:rsidR="000D60E5" w14:paraId="030EDBD2" w14:textId="77777777" w:rsidTr="007E1442">
        <w:tc>
          <w:tcPr>
            <w:tcW w:w="5098" w:type="dxa"/>
          </w:tcPr>
          <w:p w14:paraId="104F0794" w14:textId="77777777" w:rsidR="000D60E5" w:rsidRPr="00966898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 w:rsidRPr="00A9647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A++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.mfi</w:t>
            </w:r>
          </w:p>
        </w:tc>
        <w:tc>
          <w:tcPr>
            <w:tcW w:w="4962" w:type="dxa"/>
          </w:tcPr>
          <w:p w14:paraId="42E26A25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BBB</w:t>
            </w:r>
          </w:p>
        </w:tc>
      </w:tr>
      <w:tr w:rsidR="000D60E5" w14:paraId="11E42810" w14:textId="77777777" w:rsidTr="007E1442">
        <w:tc>
          <w:tcPr>
            <w:tcW w:w="5098" w:type="dxa"/>
          </w:tcPr>
          <w:p w14:paraId="6C13BA9D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A+.mfi</w:t>
            </w:r>
          </w:p>
        </w:tc>
        <w:tc>
          <w:tcPr>
            <w:tcW w:w="4962" w:type="dxa"/>
          </w:tcPr>
          <w:p w14:paraId="4BEB0323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BB</w:t>
            </w:r>
          </w:p>
        </w:tc>
      </w:tr>
      <w:tr w:rsidR="000D60E5" w14:paraId="0503C52D" w14:textId="77777777" w:rsidTr="007E1442">
        <w:tc>
          <w:tcPr>
            <w:tcW w:w="5098" w:type="dxa"/>
          </w:tcPr>
          <w:p w14:paraId="78E1B930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A.mfi</w:t>
            </w:r>
          </w:p>
        </w:tc>
        <w:tc>
          <w:tcPr>
            <w:tcW w:w="4962" w:type="dxa"/>
          </w:tcPr>
          <w:p w14:paraId="068A5C4E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BB</w:t>
            </w:r>
          </w:p>
        </w:tc>
      </w:tr>
      <w:tr w:rsidR="000D60E5" w:rsidRPr="00A9647B" w14:paraId="1DB64DF2" w14:textId="77777777" w:rsidTr="007E1442">
        <w:tc>
          <w:tcPr>
            <w:tcW w:w="5098" w:type="dxa"/>
          </w:tcPr>
          <w:p w14:paraId="7CB00298" w14:textId="316B8D0E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B++.mfi</w:t>
            </w:r>
            <w:r w:rsidR="00893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</w:t>
            </w:r>
            <w:r w:rsidR="00893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 xml:space="preserve"> B+.mfi</w:t>
            </w:r>
          </w:p>
        </w:tc>
        <w:tc>
          <w:tcPr>
            <w:tcW w:w="4962" w:type="dxa"/>
          </w:tcPr>
          <w:p w14:paraId="07608AB7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</w:t>
            </w:r>
          </w:p>
        </w:tc>
      </w:tr>
      <w:tr w:rsidR="000D60E5" w:rsidRPr="00A9647B" w14:paraId="18C3F217" w14:textId="77777777" w:rsidTr="007E1442">
        <w:tc>
          <w:tcPr>
            <w:tcW w:w="5098" w:type="dxa"/>
          </w:tcPr>
          <w:p w14:paraId="0C5335A1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B.mfi</w:t>
            </w:r>
          </w:p>
        </w:tc>
        <w:tc>
          <w:tcPr>
            <w:tcW w:w="4962" w:type="dxa"/>
          </w:tcPr>
          <w:p w14:paraId="6F3D2BBD" w14:textId="77777777" w:rsidR="000D60E5" w:rsidRPr="00A9647B" w:rsidRDefault="000D60E5" w:rsidP="007E14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 w:eastAsia="ru-RU"/>
              </w:rPr>
              <w:t>CCC</w:t>
            </w:r>
          </w:p>
        </w:tc>
      </w:tr>
    </w:tbl>
    <w:p w14:paraId="302B1CB8" w14:textId="77777777" w:rsidR="000D60E5" w:rsidRPr="00C44E89" w:rsidRDefault="000D60E5" w:rsidP="000D60E5">
      <w:pPr>
        <w:rPr>
          <w:rStyle w:val="ab"/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09B0D579" w14:textId="77777777" w:rsidR="000D60E5" w:rsidRPr="005064F9" w:rsidRDefault="000D60E5" w:rsidP="005064F9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361D3CA3" w14:textId="77777777" w:rsidR="007B2C71" w:rsidRDefault="007B2C71" w:rsidP="00673A1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CE8427C" w14:textId="77777777" w:rsidR="00013585" w:rsidRDefault="00013585" w:rsidP="00673A11">
      <w:pPr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47B2B8E9" w14:textId="77777777" w:rsidR="005A1B38" w:rsidRDefault="005A1B38" w:rsidP="00013585">
      <w:pPr>
        <w:pStyle w:val="2"/>
        <w:sectPr w:rsidR="005A1B38" w:rsidSect="00617BA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B0FD325" w14:textId="35D5A4E4" w:rsidR="005064F9" w:rsidRPr="0010574E" w:rsidRDefault="005064F9" w:rsidP="005064F9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10574E">
        <w:rPr>
          <w:rFonts w:ascii="Times New Roman" w:hAnsi="Times New Roman" w:cs="Times New Roman"/>
          <w:b/>
          <w:szCs w:val="24"/>
        </w:rPr>
        <w:lastRenderedPageBreak/>
        <w:t>Описание методологии расчета историчес</w:t>
      </w:r>
      <w:r>
        <w:rPr>
          <w:rFonts w:ascii="Times New Roman" w:hAnsi="Times New Roman" w:cs="Times New Roman"/>
          <w:b/>
          <w:szCs w:val="24"/>
        </w:rPr>
        <w:t>ких уровней дефолта</w:t>
      </w:r>
    </w:p>
    <w:p w14:paraId="0AC11FBA" w14:textId="71DB69FE" w:rsidR="00331C87" w:rsidRDefault="003A4B8E" w:rsidP="0001358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Расчет уровней (частот) дефолта требует п</w:t>
      </w:r>
      <w:r w:rsidR="00331C87" w:rsidRPr="00DA16D4">
        <w:rPr>
          <w:rFonts w:ascii="Times New Roman" w:hAnsi="Times New Roman" w:cs="Times New Roman"/>
          <w:szCs w:val="24"/>
        </w:rPr>
        <w:t>одготовк</w:t>
      </w:r>
      <w:r>
        <w:rPr>
          <w:rFonts w:ascii="Times New Roman" w:hAnsi="Times New Roman" w:cs="Times New Roman"/>
          <w:szCs w:val="24"/>
        </w:rPr>
        <w:t>и</w:t>
      </w:r>
      <w:r w:rsidR="00331C87">
        <w:rPr>
          <w:rFonts w:ascii="Times New Roman" w:hAnsi="Times New Roman" w:cs="Times New Roman"/>
          <w:szCs w:val="24"/>
        </w:rPr>
        <w:t xml:space="preserve"> </w:t>
      </w:r>
      <w:r w:rsidR="00331C87" w:rsidRPr="00DA16D4">
        <w:rPr>
          <w:rFonts w:ascii="Times New Roman" w:hAnsi="Times New Roman" w:cs="Times New Roman"/>
          <w:szCs w:val="24"/>
        </w:rPr>
        <w:t xml:space="preserve">таблиц с количеством рейтингов (в разрезе рейтинговой категории) на начало года и с количеством объектов рейтинга, допустивших дефолт, в каждой рейтинговой категории. </w:t>
      </w:r>
      <w:r w:rsidR="00331C87">
        <w:rPr>
          <w:rFonts w:ascii="Times New Roman" w:hAnsi="Times New Roman" w:cs="Times New Roman"/>
          <w:szCs w:val="24"/>
        </w:rPr>
        <w:t>Для определения частоты дефолтов на различных горизонтах данные о дефолтах собираются на горизонте одного, двух и трех лет</w:t>
      </w:r>
      <w:r>
        <w:rPr>
          <w:rFonts w:ascii="Times New Roman" w:hAnsi="Times New Roman" w:cs="Times New Roman"/>
          <w:szCs w:val="24"/>
        </w:rPr>
        <w:t xml:space="preserve"> (см. таблицы ниже)</w:t>
      </w:r>
      <w:r w:rsidR="00331C87">
        <w:rPr>
          <w:rFonts w:ascii="Times New Roman" w:hAnsi="Times New Roman" w:cs="Times New Roman"/>
          <w:szCs w:val="24"/>
        </w:rPr>
        <w:t xml:space="preserve">. </w:t>
      </w:r>
    </w:p>
    <w:p w14:paraId="6C40E436" w14:textId="77777777" w:rsidR="00013585" w:rsidRPr="00C44E89" w:rsidRDefault="00013585" w:rsidP="00013585">
      <w:pPr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107FE8AD" w14:textId="097E3421" w:rsidR="00013585" w:rsidRPr="00C44E89" w:rsidRDefault="00013585" w:rsidP="00013585">
      <w:pPr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Таблица </w:t>
      </w:r>
      <w:r w:rsidR="00B85661" w:rsidRPr="00D72B5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</w:t>
      </w:r>
      <w:r w:rsidRPr="00C44E89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. </w:t>
      </w:r>
      <w:r w:rsidR="005A1B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Количество рейтингов</w:t>
      </w:r>
      <w:r w:rsidR="00AB6CD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, действовавших на начало</w:t>
      </w:r>
      <w:r w:rsidR="005A1B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периода</w:t>
      </w:r>
    </w:p>
    <w:p w14:paraId="6D7C8D39" w14:textId="1D6253F6" w:rsidR="00013585" w:rsidRDefault="00013585" w:rsidP="00013585">
      <w:pPr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68"/>
        <w:gridCol w:w="709"/>
        <w:gridCol w:w="709"/>
        <w:gridCol w:w="709"/>
        <w:gridCol w:w="708"/>
        <w:gridCol w:w="709"/>
        <w:gridCol w:w="696"/>
        <w:gridCol w:w="696"/>
        <w:gridCol w:w="734"/>
        <w:gridCol w:w="709"/>
        <w:gridCol w:w="696"/>
        <w:gridCol w:w="708"/>
        <w:gridCol w:w="709"/>
        <w:gridCol w:w="709"/>
        <w:gridCol w:w="709"/>
        <w:gridCol w:w="722"/>
        <w:gridCol w:w="708"/>
        <w:gridCol w:w="960"/>
      </w:tblGrid>
      <w:tr w:rsidR="00D62538" w:rsidRPr="00666ECF" w14:paraId="163C5D60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92E5CB3" w14:textId="5473186A" w:rsidR="00D62538" w:rsidRPr="007E1442" w:rsidRDefault="00D62538" w:rsidP="00D62538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Рейтинговая категория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2A70AC8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5566A3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4F35BC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CD41D1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62C492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1BE01D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271B8E3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FCEBC26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2009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4914D5EC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5F8997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F2E2AF0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322529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C865EB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FAC1E9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EDE3CF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2016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8493FB6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1DF5D8" w14:textId="77777777" w:rsidR="00D62538" w:rsidRPr="007E1442" w:rsidRDefault="00D62538" w:rsidP="00D625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D394F" w14:textId="163B239A" w:rsidR="00D62538" w:rsidRPr="007E1442" w:rsidRDefault="007E1442" w:rsidP="00D62538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Сумма</w:t>
            </w:r>
          </w:p>
        </w:tc>
      </w:tr>
      <w:tr w:rsidR="00D62538" w:rsidRPr="00666ECF" w14:paraId="7EE99812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4D6DEE7" w14:textId="77777777" w:rsidR="00D62538" w:rsidRPr="00666ECF" w:rsidRDefault="00D62538" w:rsidP="00D6253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AAA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232122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EEE132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420725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8D0F7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1541E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8D771C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31F3841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FBDC93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0EDE08C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0355B7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5FC39C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4066B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B1973A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038BF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1DAB9E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94DB64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56683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9803E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141</w:t>
            </w:r>
          </w:p>
        </w:tc>
      </w:tr>
      <w:tr w:rsidR="00D62538" w:rsidRPr="00666ECF" w14:paraId="55F94009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27BEAAA" w14:textId="77777777" w:rsidR="00D62538" w:rsidRPr="00666ECF" w:rsidRDefault="00D62538" w:rsidP="00D6253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6E66CF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EF77E8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D7C4E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92ED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773AB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151A75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3A4E461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7DA2A0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578BA27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E3969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0156BB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D1EFD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EA28C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2C0E5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2E556E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7F90172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D61EB8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55EF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558</w:t>
            </w:r>
          </w:p>
        </w:tc>
      </w:tr>
      <w:tr w:rsidR="00D62538" w:rsidRPr="00666ECF" w14:paraId="3EF07402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61A8158" w14:textId="77777777" w:rsidR="00D62538" w:rsidRPr="00666ECF" w:rsidRDefault="00D62538" w:rsidP="00D6253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1E0F245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B311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6E1AC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1C64A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4EBE27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E1A355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3439A17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37B569F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0DB6EBAE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7C247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E90A4A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0A75CF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674CC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CB6D7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33EA71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2EB5B3F7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BC5C61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4C9B5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859</w:t>
            </w:r>
          </w:p>
        </w:tc>
      </w:tr>
      <w:tr w:rsidR="00D62538" w:rsidRPr="00666ECF" w14:paraId="7C4B5D47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99F3FED" w14:textId="77777777" w:rsidR="00D62538" w:rsidRPr="00666ECF" w:rsidRDefault="00D62538" w:rsidP="00D6253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BBB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D6440B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13693F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B97BA5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C90FAE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6B5C87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98A7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AD21F38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A048A52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B3B69F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D247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D4BB241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C02521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13F42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B488C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6B19C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C87E9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AD79D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8FBA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1365</w:t>
            </w:r>
          </w:p>
        </w:tc>
      </w:tr>
      <w:tr w:rsidR="00D62538" w:rsidRPr="00666ECF" w14:paraId="608D3E08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24679A8" w14:textId="77777777" w:rsidR="00D62538" w:rsidRPr="00666ECF" w:rsidRDefault="00D62538" w:rsidP="00D6253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4B60E75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54BB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4566B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827B2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BA9C7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118E9F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1993A3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E5BECC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77979E7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6B44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C5E4C6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A4D72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E58DF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41FD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46DAE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149325A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1D7D6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01EDF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849</w:t>
            </w:r>
          </w:p>
        </w:tc>
      </w:tr>
      <w:tr w:rsidR="00D62538" w:rsidRPr="00666ECF" w14:paraId="0D39E683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5919DD6" w14:textId="77777777" w:rsidR="00D62538" w:rsidRPr="00666ECF" w:rsidRDefault="00D62538" w:rsidP="00D6253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E60E7E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ADFFA8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35AF58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94783E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D5C1FC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7FA3C2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6BA20B2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D8510A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4DB9A4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BB3D1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52348E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B0FD4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F105D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794D9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A3515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27406C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355638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3945D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957</w:t>
            </w:r>
          </w:p>
        </w:tc>
      </w:tr>
      <w:tr w:rsidR="00D62538" w:rsidRPr="00666ECF" w14:paraId="663C72B2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14CDE0D" w14:textId="77777777" w:rsidR="00D62538" w:rsidRPr="00666ECF" w:rsidRDefault="00D62538" w:rsidP="00D6253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CCC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CEF490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D0E7B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557F2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FB5C01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05474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8BB852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72AF99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6B684A7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430BD03C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407845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F52CD2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96169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ED26C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F643B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8FA022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5CFF397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4BEFC8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AA0EC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</w:tr>
      <w:tr w:rsidR="00D62538" w:rsidRPr="00666ECF" w14:paraId="1A22802A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8090542" w14:textId="77777777" w:rsidR="00D62538" w:rsidRPr="00666ECF" w:rsidRDefault="00D62538" w:rsidP="00D6253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CC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D1B92B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D832E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247E49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0D983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95BD8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943FA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659D2B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EF4838D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15679B5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BFB173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F0755E1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766F0E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8F4F84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EA5638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FA5EF6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0519DB3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FA6F6B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913170" w14:textId="77777777" w:rsidR="00D62538" w:rsidRPr="00666ECF" w:rsidRDefault="00D62538" w:rsidP="00D62538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6E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</w:tbl>
    <w:p w14:paraId="603BC242" w14:textId="77777777" w:rsidR="00D62538" w:rsidRPr="00666ECF" w:rsidRDefault="00D62538" w:rsidP="00013585">
      <w:pPr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4023AD42" w14:textId="77777777" w:rsidR="00013585" w:rsidRPr="00C44E89" w:rsidRDefault="00013585" w:rsidP="00013585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</w:p>
    <w:p w14:paraId="33BA898E" w14:textId="49A29D65" w:rsidR="00013585" w:rsidRPr="00C44E89" w:rsidRDefault="00013585" w:rsidP="00013585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  <w:r w:rsidRPr="00C44E89">
        <w:rPr>
          <w:rStyle w:val="ab"/>
          <w:color w:val="000000"/>
        </w:rPr>
        <w:t xml:space="preserve">Таблица </w:t>
      </w:r>
      <w:r w:rsidR="00B85661" w:rsidRPr="00D72B56">
        <w:rPr>
          <w:rStyle w:val="ab"/>
          <w:color w:val="000000"/>
        </w:rPr>
        <w:t>4</w:t>
      </w:r>
      <w:r w:rsidRPr="00C44E89">
        <w:rPr>
          <w:rStyle w:val="ab"/>
          <w:color w:val="000000"/>
        </w:rPr>
        <w:t xml:space="preserve">. </w:t>
      </w:r>
      <w:r w:rsidR="00D62538">
        <w:rPr>
          <w:rStyle w:val="ab"/>
          <w:color w:val="000000"/>
        </w:rPr>
        <w:t>Количество дефолтов</w:t>
      </w:r>
      <w:r w:rsidR="00D3700D">
        <w:rPr>
          <w:rStyle w:val="ab"/>
          <w:color w:val="000000"/>
        </w:rPr>
        <w:t xml:space="preserve"> по объектам рейтинга, </w:t>
      </w:r>
      <w:r w:rsidR="00AB6CD7">
        <w:rPr>
          <w:rStyle w:val="ab"/>
          <w:color w:val="000000"/>
        </w:rPr>
        <w:t>зафиксированных Агентством к 01.07.18,</w:t>
      </w:r>
      <w:r w:rsidR="00D62538">
        <w:rPr>
          <w:rStyle w:val="ab"/>
          <w:color w:val="000000"/>
        </w:rPr>
        <w:t xml:space="preserve"> на горизонте 1 год </w:t>
      </w:r>
      <w:r w:rsidR="00AB6CD7">
        <w:rPr>
          <w:rStyle w:val="ab"/>
          <w:color w:val="000000"/>
        </w:rPr>
        <w:t>(</w:t>
      </w:r>
      <w:r w:rsidR="00D62538">
        <w:rPr>
          <w:rStyle w:val="ab"/>
          <w:color w:val="000000"/>
        </w:rPr>
        <w:t>по периодам</w:t>
      </w:r>
      <w:r w:rsidR="00AB6CD7">
        <w:rPr>
          <w:rStyle w:val="ab"/>
          <w:color w:val="000000"/>
        </w:rPr>
        <w:t>)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68"/>
        <w:gridCol w:w="709"/>
        <w:gridCol w:w="709"/>
        <w:gridCol w:w="709"/>
        <w:gridCol w:w="708"/>
        <w:gridCol w:w="709"/>
        <w:gridCol w:w="709"/>
        <w:gridCol w:w="696"/>
        <w:gridCol w:w="721"/>
        <w:gridCol w:w="709"/>
        <w:gridCol w:w="709"/>
        <w:gridCol w:w="709"/>
        <w:gridCol w:w="708"/>
        <w:gridCol w:w="709"/>
        <w:gridCol w:w="709"/>
        <w:gridCol w:w="709"/>
        <w:gridCol w:w="708"/>
        <w:gridCol w:w="960"/>
      </w:tblGrid>
      <w:tr w:rsidR="00D62538" w:rsidRPr="00D62538" w14:paraId="1D5A1ADD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82D2664" w14:textId="07307525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val="ru-RU" w:eastAsia="ru-RU"/>
              </w:rPr>
              <w:t>Рейтинговая категория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7266DC5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4DF52F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C3E503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35953B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AADCEA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E9C6BD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7A1050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6D083C3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85B9A3E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392485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3B0704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88F24E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C4699C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146641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A3AAA0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D57BE3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FEA369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CFB4DB" w14:textId="5E15B89B" w:rsidR="00D62538" w:rsidRPr="007E1442" w:rsidRDefault="007E1442" w:rsidP="00666ECF">
            <w:pPr>
              <w:pStyle w:val="RAEXdefault"/>
              <w:rPr>
                <w:b/>
                <w:i/>
                <w:lang w:val="ru-RU" w:eastAsia="ru-RU"/>
              </w:rPr>
            </w:pPr>
            <w:r>
              <w:rPr>
                <w:b/>
                <w:i/>
                <w:lang w:val="ru-RU" w:eastAsia="ru-RU"/>
              </w:rPr>
              <w:t>Сумма</w:t>
            </w:r>
          </w:p>
        </w:tc>
      </w:tr>
      <w:tr w:rsidR="00D62538" w:rsidRPr="00D62538" w14:paraId="24547749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4C559F1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AAA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2183B3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A5279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EDA26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D1B1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8640E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7523E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EE448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9C7EE7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61556D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B1C56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EFFDC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E8907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FA194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A813D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E7D5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EB691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2A91B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3BE9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</w:tr>
      <w:tr w:rsidR="00D62538" w:rsidRPr="00D62538" w14:paraId="195F913F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770F4B9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AA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36948C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1ADA6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38A96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C6EEE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C775F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04ABF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450D0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9117C2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ED5410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DA23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B4A93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CC746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9B647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69440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62A4F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607AD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5475E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BC77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</w:tr>
      <w:tr w:rsidR="00D62538" w:rsidRPr="00D62538" w14:paraId="18AB51A1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253EB24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87081F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36E24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93D72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B285D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C5F85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D56DB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DEB0D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933EEA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856FA0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C36A7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905D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C2E1E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6217A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31C08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B4B04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DB391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2AAC2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C45B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9</w:t>
            </w:r>
          </w:p>
        </w:tc>
      </w:tr>
      <w:tr w:rsidR="00D62538" w:rsidRPr="00D62538" w14:paraId="02352B39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F674049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BBB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71A369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AC30D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DB867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C290E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3E73C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ED063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4534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ECCC3A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07BDD1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DD0D3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503B9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09DB9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39958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2B4BC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07711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8AE1C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04D91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88DD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29</w:t>
            </w:r>
          </w:p>
        </w:tc>
      </w:tr>
      <w:tr w:rsidR="00D62538" w:rsidRPr="00D62538" w14:paraId="7AF5293E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CC7E832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BB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C23B2B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8CCEB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2CB9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AA72E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0696C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D242C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57BB6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1BC6D3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4B62C1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C77EF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5FDF6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09E89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2D3DB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5E3F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28051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58860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1A43E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C102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34</w:t>
            </w:r>
          </w:p>
        </w:tc>
      </w:tr>
      <w:tr w:rsidR="00D62538" w:rsidRPr="00D62538" w14:paraId="2DA6DF8F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A3C37BF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333568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8C59F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63D3B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BDC07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8C61E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95A7C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5144B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8C71E9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9EE54F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3E38B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3565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E443D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10B48B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F1D53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8CBFE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AAA13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F7798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EBD0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79</w:t>
            </w:r>
          </w:p>
        </w:tc>
      </w:tr>
      <w:tr w:rsidR="00D62538" w:rsidRPr="00D62538" w14:paraId="2CB41527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5DB29E4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CCC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3E311D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2FD18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86D87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B9A6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CE882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B19B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27370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6762F4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F0091A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E1A6B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C5808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E1019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07581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CC7BA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B14A3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97D9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D4FBA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6122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10</w:t>
            </w:r>
          </w:p>
        </w:tc>
      </w:tr>
      <w:tr w:rsidR="00D62538" w:rsidRPr="00D62538" w14:paraId="319F5C45" w14:textId="77777777" w:rsidTr="00666ECF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39C4A9E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CC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DE753E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89DFB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57540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E87E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EF6A3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B025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25CA8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2D86DD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3FAE38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F715F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11BA5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262B6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5C67D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09416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1F0E9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7EBE1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4E99E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1E65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</w:tr>
    </w:tbl>
    <w:p w14:paraId="163BD87E" w14:textId="77777777" w:rsidR="00013585" w:rsidRPr="00C44E89" w:rsidRDefault="00013585" w:rsidP="00013585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</w:p>
    <w:p w14:paraId="55165F6C" w14:textId="7E7D0980" w:rsidR="00FE5F52" w:rsidRPr="00C44E89" w:rsidRDefault="00FE5F52" w:rsidP="00FE5F52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  <w:r w:rsidRPr="00C44E89">
        <w:rPr>
          <w:rStyle w:val="ab"/>
          <w:color w:val="000000"/>
        </w:rPr>
        <w:t xml:space="preserve">Таблица </w:t>
      </w:r>
      <w:r w:rsidR="00B85661" w:rsidRPr="00D72B56">
        <w:rPr>
          <w:rStyle w:val="ab"/>
          <w:color w:val="000000"/>
        </w:rPr>
        <w:t>5</w:t>
      </w:r>
      <w:r w:rsidRPr="00C44E89">
        <w:rPr>
          <w:rStyle w:val="ab"/>
          <w:color w:val="000000"/>
        </w:rPr>
        <w:t xml:space="preserve">. </w:t>
      </w:r>
      <w:r w:rsidR="00AB6CD7">
        <w:rPr>
          <w:rStyle w:val="ab"/>
          <w:color w:val="000000"/>
        </w:rPr>
        <w:t>Количество дефолтов по объектам рейтинга, зафиксированных Агентством к 01.07.18,</w:t>
      </w:r>
      <w:r w:rsidR="009746E0">
        <w:rPr>
          <w:rStyle w:val="ab"/>
          <w:color w:val="000000"/>
        </w:rPr>
        <w:t xml:space="preserve"> на горизонте 2</w:t>
      </w:r>
      <w:r>
        <w:rPr>
          <w:rStyle w:val="ab"/>
          <w:color w:val="000000"/>
        </w:rPr>
        <w:t xml:space="preserve"> года </w:t>
      </w:r>
      <w:r w:rsidR="00AB6CD7">
        <w:rPr>
          <w:rStyle w:val="ab"/>
          <w:color w:val="000000"/>
        </w:rPr>
        <w:t>(</w:t>
      </w:r>
      <w:r>
        <w:rPr>
          <w:rStyle w:val="ab"/>
          <w:color w:val="000000"/>
        </w:rPr>
        <w:t>по периодам</w:t>
      </w:r>
      <w:r w:rsidR="00AB6CD7">
        <w:rPr>
          <w:rStyle w:val="ab"/>
          <w:color w:val="000000"/>
        </w:rPr>
        <w:t>)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68"/>
        <w:gridCol w:w="709"/>
        <w:gridCol w:w="709"/>
        <w:gridCol w:w="709"/>
        <w:gridCol w:w="708"/>
        <w:gridCol w:w="709"/>
        <w:gridCol w:w="709"/>
        <w:gridCol w:w="709"/>
        <w:gridCol w:w="696"/>
        <w:gridCol w:w="721"/>
        <w:gridCol w:w="709"/>
        <w:gridCol w:w="709"/>
        <w:gridCol w:w="696"/>
        <w:gridCol w:w="696"/>
        <w:gridCol w:w="696"/>
        <w:gridCol w:w="696"/>
        <w:gridCol w:w="759"/>
        <w:gridCol w:w="960"/>
      </w:tblGrid>
      <w:tr w:rsidR="009746E0" w:rsidRPr="009746E0" w14:paraId="76F0D3DB" w14:textId="77777777" w:rsidTr="005064F9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4E548DC" w14:textId="7B95F73A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val="ru-RU" w:eastAsia="ru-RU"/>
              </w:rPr>
              <w:lastRenderedPageBreak/>
              <w:t>Рейтинговая категория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B291EED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943F5F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4FC7BF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AED8FB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C6F2EC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620421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4528E6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3EE143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B549BC8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7E93CB2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CA4804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3982A5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955A877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62CC3BB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E5DC95B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F027B88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49D139" w14:textId="77777777" w:rsidR="009746E0" w:rsidRPr="007E1442" w:rsidRDefault="009746E0" w:rsidP="005064F9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EC2FC0" w14:textId="6DF52DDD" w:rsidR="009746E0" w:rsidRPr="007E1442" w:rsidRDefault="007E1442" w:rsidP="005064F9">
            <w:pPr>
              <w:pStyle w:val="RAEXdefault"/>
              <w:rPr>
                <w:b/>
                <w:i/>
                <w:lang w:val="ru-RU" w:eastAsia="ru-RU"/>
              </w:rPr>
            </w:pPr>
            <w:r>
              <w:rPr>
                <w:b/>
                <w:i/>
                <w:lang w:val="ru-RU" w:eastAsia="ru-RU"/>
              </w:rPr>
              <w:t>Сумма</w:t>
            </w:r>
          </w:p>
        </w:tc>
      </w:tr>
      <w:tr w:rsidR="009746E0" w:rsidRPr="009746E0" w14:paraId="385D3B51" w14:textId="77777777" w:rsidTr="005064F9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FFC631C" w14:textId="77777777" w:rsidR="009746E0" w:rsidRPr="009746E0" w:rsidRDefault="009746E0" w:rsidP="005064F9">
            <w:pPr>
              <w:pStyle w:val="RAEXdefault"/>
              <w:rPr>
                <w:lang w:eastAsia="ru-RU"/>
              </w:rPr>
            </w:pPr>
            <w:r w:rsidRPr="009746E0">
              <w:rPr>
                <w:lang w:eastAsia="ru-RU"/>
              </w:rPr>
              <w:t>AAA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072E80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C8A52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93389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EED9A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211C4E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47DC7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18C15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C7ED14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3DEDDE0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7F2AA66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7FE49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717762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7FDAE42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A131B00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9FFC71D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4865D8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1BEF48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711B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</w:tr>
      <w:tr w:rsidR="009746E0" w:rsidRPr="009746E0" w14:paraId="05FCA4CE" w14:textId="77777777" w:rsidTr="005064F9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98CBE41" w14:textId="77777777" w:rsidR="009746E0" w:rsidRPr="009746E0" w:rsidRDefault="009746E0" w:rsidP="005064F9">
            <w:pPr>
              <w:pStyle w:val="RAEXdefault"/>
              <w:rPr>
                <w:lang w:eastAsia="ru-RU"/>
              </w:rPr>
            </w:pPr>
            <w:r w:rsidRPr="009746E0">
              <w:rPr>
                <w:lang w:eastAsia="ru-RU"/>
              </w:rPr>
              <w:t>AA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76B73C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4604B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2FD5BF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27BE21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B5D39C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83C8A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B4DB3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4A0008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CEFF7D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D03D12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7B2A5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44AE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B8A976C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EDFEEB6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FD5AC35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33C6344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B904D6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B7D7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5</w:t>
            </w:r>
          </w:p>
        </w:tc>
      </w:tr>
      <w:tr w:rsidR="009746E0" w:rsidRPr="009746E0" w14:paraId="4A6BEE5F" w14:textId="77777777" w:rsidTr="005064F9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3B363FB" w14:textId="77777777" w:rsidR="009746E0" w:rsidRPr="009746E0" w:rsidRDefault="009746E0" w:rsidP="005064F9">
            <w:pPr>
              <w:pStyle w:val="RAEXdefault"/>
              <w:rPr>
                <w:lang w:eastAsia="ru-RU"/>
              </w:rPr>
            </w:pPr>
            <w:r w:rsidRPr="009746E0">
              <w:rPr>
                <w:lang w:eastAsia="ru-RU"/>
              </w:rPr>
              <w:t>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40F563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6A96F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2ED45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95713D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E260442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7E1C4F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10F5B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F405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744927D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CB49E6C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2E8D5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F1495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F96E59E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AF3D0E4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6A1834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D3653C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398F80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30BF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21</w:t>
            </w:r>
          </w:p>
        </w:tc>
      </w:tr>
      <w:tr w:rsidR="009746E0" w:rsidRPr="009746E0" w14:paraId="5E5565E2" w14:textId="77777777" w:rsidTr="005064F9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2F3F2E8" w14:textId="77777777" w:rsidR="009746E0" w:rsidRPr="009746E0" w:rsidRDefault="009746E0" w:rsidP="005064F9">
            <w:pPr>
              <w:pStyle w:val="RAEXdefault"/>
              <w:rPr>
                <w:lang w:eastAsia="ru-RU"/>
              </w:rPr>
            </w:pPr>
            <w:r w:rsidRPr="009746E0">
              <w:rPr>
                <w:lang w:eastAsia="ru-RU"/>
              </w:rPr>
              <w:t>BBB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3BAA950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FE45A4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C28DC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C5E608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169978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0A8542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A707C6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E205C1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4039A41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9415A9F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3E69A5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67974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523BC2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23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6F564D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F2AECBE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CC8FDED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5C2632F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3E61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73</w:t>
            </w:r>
          </w:p>
        </w:tc>
      </w:tr>
      <w:tr w:rsidR="009746E0" w:rsidRPr="009746E0" w14:paraId="592ADB2F" w14:textId="77777777" w:rsidTr="005064F9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D963ABC" w14:textId="77777777" w:rsidR="009746E0" w:rsidRPr="009746E0" w:rsidRDefault="009746E0" w:rsidP="005064F9">
            <w:pPr>
              <w:pStyle w:val="RAEXdefault"/>
              <w:rPr>
                <w:lang w:eastAsia="ru-RU"/>
              </w:rPr>
            </w:pPr>
            <w:r w:rsidRPr="009746E0">
              <w:rPr>
                <w:lang w:eastAsia="ru-RU"/>
              </w:rPr>
              <w:t>BB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757F2BF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0868E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ADEFE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D9B71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524B24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19971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C6469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8EE4A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4E68D52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BC8548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5FEC21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F2781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9F5FCD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CF1D94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44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529B82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C8AD34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4D881E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CEB8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95</w:t>
            </w:r>
          </w:p>
        </w:tc>
      </w:tr>
      <w:tr w:rsidR="009746E0" w:rsidRPr="009746E0" w14:paraId="37AC809B" w14:textId="77777777" w:rsidTr="005064F9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EAC8F5D" w14:textId="77777777" w:rsidR="009746E0" w:rsidRPr="009746E0" w:rsidRDefault="009746E0" w:rsidP="005064F9">
            <w:pPr>
              <w:pStyle w:val="RAEXdefault"/>
              <w:rPr>
                <w:lang w:eastAsia="ru-RU"/>
              </w:rPr>
            </w:pPr>
            <w:r w:rsidRPr="009746E0">
              <w:rPr>
                <w:lang w:eastAsia="ru-RU"/>
              </w:rPr>
              <w:t>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D048B1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590D4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5F5CC6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76D4B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CAAD6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6BCC45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884A35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93B69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BD152F8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868B4E8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F106B0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9A890D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388559F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0497A72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DEB49DE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42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67DBD6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D8576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E310E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143</w:t>
            </w:r>
          </w:p>
        </w:tc>
      </w:tr>
      <w:tr w:rsidR="009746E0" w:rsidRPr="009746E0" w14:paraId="5729EE5D" w14:textId="77777777" w:rsidTr="005064F9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87D78A0" w14:textId="77777777" w:rsidR="009746E0" w:rsidRPr="009746E0" w:rsidRDefault="009746E0" w:rsidP="005064F9">
            <w:pPr>
              <w:pStyle w:val="RAEXdefault"/>
              <w:rPr>
                <w:lang w:eastAsia="ru-RU"/>
              </w:rPr>
            </w:pPr>
            <w:r w:rsidRPr="009746E0">
              <w:rPr>
                <w:lang w:eastAsia="ru-RU"/>
              </w:rPr>
              <w:t>CCC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08960BA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087CD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76A136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135102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17A300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D518C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48C11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1E591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64CBD4C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906BC7D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79E3E0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27C165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533224C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5B798F2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F7365DC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917A2FC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AD44CF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9EBD5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14</w:t>
            </w:r>
          </w:p>
        </w:tc>
      </w:tr>
      <w:tr w:rsidR="009746E0" w:rsidRPr="009746E0" w14:paraId="4B97501D" w14:textId="77777777" w:rsidTr="005064F9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97895D8" w14:textId="77777777" w:rsidR="009746E0" w:rsidRPr="009746E0" w:rsidRDefault="009746E0" w:rsidP="005064F9">
            <w:pPr>
              <w:pStyle w:val="RAEXdefault"/>
              <w:rPr>
                <w:lang w:eastAsia="ru-RU"/>
              </w:rPr>
            </w:pPr>
            <w:r w:rsidRPr="009746E0">
              <w:rPr>
                <w:lang w:eastAsia="ru-RU"/>
              </w:rPr>
              <w:t>CC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219508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33AC80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6D99B2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AE0A6B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BD29305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F1316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6C1EE4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E9D9E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E5890C3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6B664A1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3F3B85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B3EA7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7FF3E59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607A038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D9A4D8C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39DDF76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A925F0C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53D81" w14:textId="77777777" w:rsidR="009746E0" w:rsidRPr="009746E0" w:rsidRDefault="009746E0" w:rsidP="005064F9">
            <w:pPr>
              <w:pStyle w:val="RAEXdefault"/>
              <w:jc w:val="right"/>
              <w:rPr>
                <w:lang w:eastAsia="ru-RU"/>
              </w:rPr>
            </w:pPr>
            <w:r w:rsidRPr="009746E0">
              <w:rPr>
                <w:lang w:eastAsia="ru-RU"/>
              </w:rPr>
              <w:t>3</w:t>
            </w:r>
          </w:p>
        </w:tc>
      </w:tr>
    </w:tbl>
    <w:p w14:paraId="76727F0D" w14:textId="28BC8E56" w:rsidR="00FE5F52" w:rsidRDefault="00FE5F52" w:rsidP="00D62538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</w:p>
    <w:p w14:paraId="64AD3D6D" w14:textId="77777777" w:rsidR="009746E0" w:rsidRDefault="009746E0" w:rsidP="00D62538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</w:p>
    <w:p w14:paraId="19E8B858" w14:textId="1DE25D3A" w:rsidR="00D62538" w:rsidRPr="00C44E89" w:rsidRDefault="00D62538" w:rsidP="00D62538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  <w:r w:rsidRPr="00C44E89">
        <w:rPr>
          <w:rStyle w:val="ab"/>
          <w:color w:val="000000"/>
        </w:rPr>
        <w:t xml:space="preserve">Таблица </w:t>
      </w:r>
      <w:r w:rsidR="00B85661" w:rsidRPr="00D72B56">
        <w:rPr>
          <w:rStyle w:val="ab"/>
          <w:color w:val="000000"/>
        </w:rPr>
        <w:t>6</w:t>
      </w:r>
      <w:r w:rsidRPr="00C44E89">
        <w:rPr>
          <w:rStyle w:val="ab"/>
          <w:color w:val="000000"/>
        </w:rPr>
        <w:t xml:space="preserve">. </w:t>
      </w:r>
      <w:r w:rsidR="00AB6CD7">
        <w:rPr>
          <w:rStyle w:val="ab"/>
          <w:color w:val="000000"/>
        </w:rPr>
        <w:t xml:space="preserve">Количество дефолтов по объектам рейтинга, зафиксированных Агентством к 01.07.18, </w:t>
      </w:r>
      <w:r>
        <w:rPr>
          <w:rStyle w:val="ab"/>
          <w:color w:val="000000"/>
        </w:rPr>
        <w:t xml:space="preserve">на горизонте 3 года </w:t>
      </w:r>
      <w:r w:rsidR="00AB6CD7">
        <w:rPr>
          <w:rStyle w:val="ab"/>
          <w:color w:val="000000"/>
        </w:rPr>
        <w:t>(</w:t>
      </w:r>
      <w:r>
        <w:rPr>
          <w:rStyle w:val="ab"/>
          <w:color w:val="000000"/>
        </w:rPr>
        <w:t>по периодам</w:t>
      </w:r>
      <w:r w:rsidR="00AB6CD7">
        <w:rPr>
          <w:rStyle w:val="ab"/>
          <w:color w:val="000000"/>
        </w:rPr>
        <w:t>)</w:t>
      </w:r>
    </w:p>
    <w:tbl>
      <w:tblPr>
        <w:tblW w:w="1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68"/>
        <w:gridCol w:w="709"/>
        <w:gridCol w:w="709"/>
        <w:gridCol w:w="709"/>
        <w:gridCol w:w="696"/>
        <w:gridCol w:w="721"/>
        <w:gridCol w:w="709"/>
        <w:gridCol w:w="709"/>
        <w:gridCol w:w="696"/>
        <w:gridCol w:w="721"/>
        <w:gridCol w:w="709"/>
        <w:gridCol w:w="709"/>
        <w:gridCol w:w="708"/>
        <w:gridCol w:w="709"/>
        <w:gridCol w:w="709"/>
        <w:gridCol w:w="696"/>
        <w:gridCol w:w="721"/>
        <w:gridCol w:w="960"/>
      </w:tblGrid>
      <w:tr w:rsidR="00D62538" w:rsidRPr="00D62538" w14:paraId="79D907EA" w14:textId="77777777" w:rsidTr="002C285D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F988154" w14:textId="2849B4A6" w:rsidR="00D62538" w:rsidRPr="007E1442" w:rsidRDefault="00D62538" w:rsidP="002C285D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val="ru-RU" w:eastAsia="ru-RU"/>
              </w:rPr>
              <w:t>Рейтинговая категория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18A66E2D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DD7529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E4844E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B47914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495DED0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491B6A4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188CB1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DA3758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2009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38A0B07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1D5E024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047B55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FC0C7A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776F51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F63A32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23887F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238658C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89C9DE6" w14:textId="77777777" w:rsidR="00D62538" w:rsidRPr="007E1442" w:rsidRDefault="00D62538" w:rsidP="00666ECF">
            <w:pPr>
              <w:pStyle w:val="RAEXdefault"/>
              <w:rPr>
                <w:b/>
                <w:i/>
                <w:lang w:eastAsia="ru-RU"/>
              </w:rPr>
            </w:pPr>
            <w:r w:rsidRPr="007E1442">
              <w:rPr>
                <w:b/>
                <w:i/>
                <w:lang w:eastAsia="ru-RU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26C14" w14:textId="2A5247B5" w:rsidR="00D62538" w:rsidRPr="007E1442" w:rsidRDefault="007E1442" w:rsidP="00666ECF">
            <w:pPr>
              <w:pStyle w:val="RAEXdefault"/>
              <w:rPr>
                <w:b/>
                <w:i/>
                <w:lang w:val="ru-RU" w:eastAsia="ru-RU"/>
              </w:rPr>
            </w:pPr>
            <w:r>
              <w:rPr>
                <w:b/>
                <w:i/>
                <w:lang w:val="ru-RU" w:eastAsia="ru-RU"/>
              </w:rPr>
              <w:t>Сумма</w:t>
            </w:r>
          </w:p>
        </w:tc>
      </w:tr>
      <w:tr w:rsidR="00D62538" w:rsidRPr="00D62538" w14:paraId="3F62BC40" w14:textId="77777777" w:rsidTr="002C285D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611953F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AAA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B97417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B7592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E5299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78F3E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D309B6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CC7E0F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0E564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11710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82A2E6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543E25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4FF0D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D62C0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64324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8D16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B6954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7892FA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4F65E3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8DBB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</w:tr>
      <w:tr w:rsidR="00D62538" w:rsidRPr="00D62538" w14:paraId="54E5EFFB" w14:textId="77777777" w:rsidTr="002C285D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9DCADE1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AA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207674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12072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A84BE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74279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D1ED94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382D02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77A9E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BDDEE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01E2C6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09A1A0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E5316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A5BC8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3E34A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779C2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AE4CB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BC1424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01849C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322A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7</w:t>
            </w:r>
          </w:p>
        </w:tc>
      </w:tr>
      <w:tr w:rsidR="00D62538" w:rsidRPr="00D62538" w14:paraId="53B60BCC" w14:textId="77777777" w:rsidTr="002C285D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43465AD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A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92D4A2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81BB3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F8F88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6396C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99B550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71A1BD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AA5A8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5F9D9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02DC50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6ECA49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720E4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9B0EE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970AC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857F3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6E0B7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1BAADB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1A65B0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E314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29</w:t>
            </w:r>
          </w:p>
        </w:tc>
      </w:tr>
      <w:tr w:rsidR="00D62538" w:rsidRPr="00D62538" w14:paraId="358163B8" w14:textId="77777777" w:rsidTr="002C285D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9EF6D20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BBB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13A1A3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0BEB7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56403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EAC9D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A4EE03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EFBF84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1212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1188B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9B6D37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5DC115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911F0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6017C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7CE4A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5D308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1AFAD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F16D21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985B19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AB86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116</w:t>
            </w:r>
          </w:p>
        </w:tc>
      </w:tr>
      <w:tr w:rsidR="00D62538" w:rsidRPr="00D62538" w14:paraId="5595E425" w14:textId="77777777" w:rsidTr="002C285D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FDB5FF0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BB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5DFC48B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E55B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AC3BE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82091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4A4B0B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D1B6C9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2959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D23B9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144F95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E1EF6B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EACDF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EBC19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6F71D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E00D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24295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853405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CD7C03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6C95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137</w:t>
            </w:r>
          </w:p>
        </w:tc>
      </w:tr>
      <w:tr w:rsidR="00D62538" w:rsidRPr="00D62538" w14:paraId="1F866150" w14:textId="77777777" w:rsidTr="002C285D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25E305C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B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2272403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16757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A631C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CF577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35B130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7F4A54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74F95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8F78E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C1EAD2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FE6A77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B2327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47546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7DC45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E21E0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A736B5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51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9EA85C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51A52A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2593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196</w:t>
            </w:r>
          </w:p>
        </w:tc>
      </w:tr>
      <w:tr w:rsidR="00D62538" w:rsidRPr="00D62538" w14:paraId="24EAB10D" w14:textId="77777777" w:rsidTr="002C285D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1500020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CCC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52178B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21851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FC6D3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5F1D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C4B239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9A2107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5E2AD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9EB89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01BAEE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111A31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AB8F8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AD77B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D6B3A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B7A18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BD96C8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F4E5A7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BF1389C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5870D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14</w:t>
            </w:r>
          </w:p>
        </w:tc>
      </w:tr>
      <w:tr w:rsidR="00D62538" w:rsidRPr="00D62538" w14:paraId="67D02F44" w14:textId="77777777" w:rsidTr="002C285D">
        <w:trPr>
          <w:trHeight w:val="300"/>
        </w:trPr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A970375" w14:textId="77777777" w:rsidR="00D62538" w:rsidRPr="00D62538" w:rsidRDefault="00D62538" w:rsidP="00666ECF">
            <w:pPr>
              <w:pStyle w:val="RAEXdefault"/>
              <w:rPr>
                <w:lang w:eastAsia="ru-RU"/>
              </w:rPr>
            </w:pPr>
            <w:r w:rsidRPr="00D62538">
              <w:rPr>
                <w:lang w:eastAsia="ru-RU"/>
              </w:rPr>
              <w:t>CC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E6C812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A2E931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D8CFB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6AF26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09A19B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2D8BA2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6A20A4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730F72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A24470F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CC6B83A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968899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03356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2509A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F7BCB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6D02D3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4121797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51FEBE0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8B90E" w14:textId="77777777" w:rsidR="00D62538" w:rsidRPr="00D62538" w:rsidRDefault="00D62538" w:rsidP="00666ECF">
            <w:pPr>
              <w:pStyle w:val="RAEXdefault"/>
              <w:jc w:val="right"/>
              <w:rPr>
                <w:lang w:eastAsia="ru-RU"/>
              </w:rPr>
            </w:pPr>
            <w:r w:rsidRPr="00D62538">
              <w:rPr>
                <w:lang w:eastAsia="ru-RU"/>
              </w:rPr>
              <w:t>3</w:t>
            </w:r>
          </w:p>
        </w:tc>
      </w:tr>
    </w:tbl>
    <w:p w14:paraId="4112A9EC" w14:textId="77777777" w:rsidR="00013585" w:rsidRPr="00C44E89" w:rsidRDefault="00013585" w:rsidP="00013585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</w:p>
    <w:p w14:paraId="7FDB97BB" w14:textId="286841E4" w:rsidR="00331C87" w:rsidRDefault="005064F9" w:rsidP="00331C87">
      <w:pPr>
        <w:pStyle w:val="a4"/>
        <w:tabs>
          <w:tab w:val="left" w:pos="851"/>
        </w:tabs>
        <w:spacing w:before="240" w:line="276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основе приведённых выше исходных данных может быть рассчитана ч</w:t>
      </w:r>
      <w:r w:rsidRPr="00D8126B">
        <w:rPr>
          <w:rFonts w:ascii="Times New Roman" w:hAnsi="Times New Roman" w:cs="Times New Roman"/>
          <w:szCs w:val="24"/>
        </w:rPr>
        <w:t>астот</w:t>
      </w:r>
      <w:r>
        <w:rPr>
          <w:rFonts w:ascii="Times New Roman" w:hAnsi="Times New Roman" w:cs="Times New Roman"/>
          <w:szCs w:val="24"/>
        </w:rPr>
        <w:t>а</w:t>
      </w:r>
      <w:r w:rsidRPr="00D8126B">
        <w:rPr>
          <w:rFonts w:ascii="Times New Roman" w:hAnsi="Times New Roman" w:cs="Times New Roman"/>
          <w:szCs w:val="24"/>
        </w:rPr>
        <w:t xml:space="preserve"> дефолтов </w:t>
      </w:r>
      <w:r>
        <w:rPr>
          <w:rFonts w:ascii="Times New Roman" w:hAnsi="Times New Roman" w:cs="Times New Roman"/>
          <w:szCs w:val="24"/>
        </w:rPr>
        <w:t>по определенной</w:t>
      </w:r>
      <w:r w:rsidRPr="00D8126B">
        <w:rPr>
          <w:rFonts w:ascii="Times New Roman" w:hAnsi="Times New Roman" w:cs="Times New Roman"/>
          <w:szCs w:val="24"/>
        </w:rPr>
        <w:t xml:space="preserve"> рейтингов</w:t>
      </w:r>
      <w:r>
        <w:rPr>
          <w:rFonts w:ascii="Times New Roman" w:hAnsi="Times New Roman" w:cs="Times New Roman"/>
          <w:szCs w:val="24"/>
        </w:rPr>
        <w:t>ой</w:t>
      </w:r>
      <w:r w:rsidRPr="00D8126B">
        <w:rPr>
          <w:rFonts w:ascii="Times New Roman" w:hAnsi="Times New Roman" w:cs="Times New Roman"/>
          <w:szCs w:val="24"/>
        </w:rPr>
        <w:t xml:space="preserve"> категори</w:t>
      </w:r>
      <w:r>
        <w:rPr>
          <w:rFonts w:ascii="Times New Roman" w:hAnsi="Times New Roman" w:cs="Times New Roman"/>
          <w:szCs w:val="24"/>
        </w:rPr>
        <w:t>и</w:t>
      </w:r>
      <w:r w:rsidRPr="00D8126B">
        <w:rPr>
          <w:rFonts w:ascii="Times New Roman" w:hAnsi="Times New Roman" w:cs="Times New Roman"/>
          <w:szCs w:val="24"/>
        </w:rPr>
        <w:t xml:space="preserve"> и период</w:t>
      </w:r>
      <w:r>
        <w:rPr>
          <w:rFonts w:ascii="Times New Roman" w:hAnsi="Times New Roman" w:cs="Times New Roman"/>
          <w:szCs w:val="24"/>
        </w:rPr>
        <w:t xml:space="preserve">у </w:t>
      </w:r>
      <w:r w:rsidR="00331C87">
        <w:rPr>
          <w:rFonts w:ascii="Times New Roman" w:hAnsi="Times New Roman" w:cs="Times New Roman"/>
          <w:szCs w:val="24"/>
        </w:rPr>
        <w:t xml:space="preserve">как </w:t>
      </w:r>
      <w:r w:rsidR="00331C87" w:rsidRPr="00D8126B">
        <w:rPr>
          <w:rFonts w:ascii="Times New Roman" w:hAnsi="Times New Roman" w:cs="Times New Roman"/>
          <w:szCs w:val="24"/>
        </w:rPr>
        <w:t>отношение количества дефолтов объектов рейтинга по итогам периода к общему количес</w:t>
      </w:r>
      <w:r w:rsidR="00331C87">
        <w:rPr>
          <w:rFonts w:ascii="Times New Roman" w:hAnsi="Times New Roman" w:cs="Times New Roman"/>
          <w:szCs w:val="24"/>
        </w:rPr>
        <w:t xml:space="preserve">тву рейтингов </w:t>
      </w:r>
      <w:r w:rsidR="003A4B8E">
        <w:rPr>
          <w:rFonts w:ascii="Times New Roman" w:hAnsi="Times New Roman" w:cs="Times New Roman"/>
          <w:szCs w:val="24"/>
        </w:rPr>
        <w:t xml:space="preserve">данной категории </w:t>
      </w:r>
      <w:r w:rsidR="00331C87">
        <w:rPr>
          <w:rFonts w:ascii="Times New Roman" w:hAnsi="Times New Roman" w:cs="Times New Roman"/>
          <w:szCs w:val="24"/>
        </w:rPr>
        <w:t>на начало периода (</w:t>
      </w:r>
      <w:r w:rsidR="00331C87" w:rsidRPr="00D8126B">
        <w:rPr>
          <w:rFonts w:ascii="Times New Roman" w:hAnsi="Times New Roman" w:cs="Times New Roman"/>
          <w:szCs w:val="24"/>
        </w:rPr>
        <w:t>в отдельности для каждого периода</w:t>
      </w:r>
      <w:r w:rsidR="00331C87">
        <w:rPr>
          <w:rFonts w:ascii="Times New Roman" w:hAnsi="Times New Roman" w:cs="Times New Roman"/>
          <w:szCs w:val="24"/>
        </w:rPr>
        <w:t xml:space="preserve">). </w:t>
      </w:r>
      <w:r w:rsidR="00331C87" w:rsidRPr="00D8126B">
        <w:rPr>
          <w:rFonts w:ascii="Times New Roman" w:hAnsi="Times New Roman" w:cs="Times New Roman"/>
          <w:szCs w:val="24"/>
        </w:rPr>
        <w:t xml:space="preserve">При расчетах за полугодие полученное значение частоты дефолтов в течение полугода пересчитывается в годовое выражение по формуле </w:t>
      </w:r>
      <w:r w:rsidR="00331C87" w:rsidRPr="00666A42">
        <w:rPr>
          <w:rFonts w:ascii="Times New Roman" w:hAnsi="Times New Roman" w:cs="Times New Roman"/>
          <w:spacing w:val="-20"/>
          <w:szCs w:val="24"/>
        </w:rPr>
        <w:t>1 - (1 - p) ^ 2</w:t>
      </w:r>
      <w:r w:rsidR="00331C87" w:rsidRPr="00D8126B">
        <w:rPr>
          <w:rFonts w:ascii="Times New Roman" w:hAnsi="Times New Roman" w:cs="Times New Roman"/>
          <w:szCs w:val="24"/>
        </w:rPr>
        <w:t xml:space="preserve">, где р - частота дефолтов в течение полугода. </w:t>
      </w:r>
      <w:r w:rsidR="00331C87">
        <w:rPr>
          <w:rFonts w:ascii="Times New Roman" w:hAnsi="Times New Roman" w:cs="Times New Roman"/>
          <w:szCs w:val="24"/>
        </w:rPr>
        <w:t>Ниже в качестве примера приведены частоты</w:t>
      </w:r>
      <w:r>
        <w:rPr>
          <w:rFonts w:ascii="Times New Roman" w:hAnsi="Times New Roman" w:cs="Times New Roman"/>
          <w:szCs w:val="24"/>
        </w:rPr>
        <w:t xml:space="preserve"> дефолтов</w:t>
      </w:r>
      <w:r w:rsidR="00331C87">
        <w:rPr>
          <w:rFonts w:ascii="Times New Roman" w:hAnsi="Times New Roman" w:cs="Times New Roman"/>
          <w:szCs w:val="24"/>
        </w:rPr>
        <w:t xml:space="preserve">, рассчитанные на горизонте 1 года, частоты на иных горизонтах рассчитываются аналогично. </w:t>
      </w:r>
    </w:p>
    <w:p w14:paraId="0CAE96B3" w14:textId="45AC09F6" w:rsidR="003A4B8E" w:rsidRDefault="003A4B8E" w:rsidP="00331C87">
      <w:pPr>
        <w:pStyle w:val="a4"/>
        <w:tabs>
          <w:tab w:val="left" w:pos="851"/>
        </w:tabs>
        <w:spacing w:before="240" w:line="276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49B31E30" w14:textId="0BBE3756" w:rsidR="00904332" w:rsidRDefault="00904332" w:rsidP="00904332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  <w:r w:rsidRPr="00C44E89">
        <w:rPr>
          <w:rStyle w:val="ab"/>
          <w:color w:val="000000"/>
        </w:rPr>
        <w:t xml:space="preserve">Таблица </w:t>
      </w:r>
      <w:r w:rsidRPr="00904332">
        <w:rPr>
          <w:rStyle w:val="ab"/>
          <w:color w:val="000000"/>
        </w:rPr>
        <w:t>7</w:t>
      </w:r>
      <w:r w:rsidRPr="00C44E89">
        <w:rPr>
          <w:rStyle w:val="ab"/>
          <w:color w:val="000000"/>
        </w:rPr>
        <w:t xml:space="preserve">. </w:t>
      </w:r>
      <w:r>
        <w:rPr>
          <w:rStyle w:val="ab"/>
          <w:color w:val="000000"/>
        </w:rPr>
        <w:t>Уровни дефолтов по объектам рейтинга на горизонте 1 год</w:t>
      </w:r>
      <w:r w:rsidR="00E028EC">
        <w:rPr>
          <w:rStyle w:val="ab"/>
          <w:color w:val="000000"/>
        </w:rPr>
        <w:t>а</w:t>
      </w:r>
      <w:r>
        <w:rPr>
          <w:rStyle w:val="ab"/>
          <w:color w:val="000000"/>
        </w:rPr>
        <w:t xml:space="preserve"> (по периодам)</w:t>
      </w:r>
    </w:p>
    <w:tbl>
      <w:tblPr>
        <w:tblW w:w="146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73"/>
        <w:gridCol w:w="709"/>
        <w:gridCol w:w="709"/>
        <w:gridCol w:w="709"/>
        <w:gridCol w:w="708"/>
        <w:gridCol w:w="709"/>
        <w:gridCol w:w="696"/>
        <w:gridCol w:w="722"/>
        <w:gridCol w:w="696"/>
        <w:gridCol w:w="696"/>
        <w:gridCol w:w="734"/>
        <w:gridCol w:w="709"/>
        <w:gridCol w:w="708"/>
        <w:gridCol w:w="709"/>
        <w:gridCol w:w="709"/>
        <w:gridCol w:w="709"/>
        <w:gridCol w:w="696"/>
        <w:gridCol w:w="1111"/>
      </w:tblGrid>
      <w:tr w:rsidR="00DE7DC9" w:rsidRPr="00904332" w14:paraId="77CA35D5" w14:textId="77777777" w:rsidTr="00DE7DC9">
        <w:trPr>
          <w:trHeight w:val="1275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C7301DD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lastRenderedPageBreak/>
              <w:t>Рейтинговая категория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31B39C6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44D80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E08E9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C88B37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919C24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1FDEC8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2007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BB25FFF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2008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5197C19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2009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BAA957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CFF5BC6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2011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B70ADCB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C8301E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EAD3FB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D2F8EE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A4BDDF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14CDC9" w14:textId="77777777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2017</w:t>
            </w:r>
          </w:p>
        </w:tc>
        <w:tc>
          <w:tcPr>
            <w:tcW w:w="855" w:type="dxa"/>
            <w:vAlign w:val="center"/>
          </w:tcPr>
          <w:p w14:paraId="1627C51E" w14:textId="5D27D7C1" w:rsidR="00DE7DC9" w:rsidRPr="007E1442" w:rsidRDefault="00DE7DC9" w:rsidP="00DE7D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2018</w:t>
            </w: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 xml:space="preserve"> (1 пг)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D274D38" w14:textId="1C703D88" w:rsidR="00DE7DC9" w:rsidRPr="007E1442" w:rsidRDefault="00DE7DC9" w:rsidP="0090433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val="en-US" w:eastAsia="ru-RU"/>
              </w:rPr>
              <w:t>2018</w:t>
            </w:r>
            <w:r w:rsidR="00E028EC"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 xml:space="preserve"> (оценка)</w:t>
            </w:r>
          </w:p>
        </w:tc>
      </w:tr>
      <w:tr w:rsidR="00DE7DC9" w:rsidRPr="00904332" w14:paraId="715D0792" w14:textId="77777777" w:rsidTr="00DE7DC9">
        <w:trPr>
          <w:trHeight w:val="33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23801A13" w14:textId="77777777" w:rsidR="00DE7DC9" w:rsidRPr="00904332" w:rsidRDefault="00DE7DC9" w:rsidP="00DE7DC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AAA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47521C0" w14:textId="15D19DB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9C63DF" w14:textId="71980B68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0206E" w14:textId="5461054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8DB34" w14:textId="7819C95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5E190F" w14:textId="1C253DC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F40CA5" w14:textId="4D67ED2C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C95F8A0" w14:textId="2AE48C2D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706FCE24" w14:textId="3288358A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C4427E1" w14:textId="34EA87B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DBA8C53" w14:textId="098CF209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8A61EB9" w14:textId="1F6305F4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57F7D" w14:textId="4684B150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28C7E9" w14:textId="0587B598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8A05E5" w14:textId="50EFCF55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10EA45" w14:textId="4936251E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F84F3B" w14:textId="1548931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55" w:type="dxa"/>
            <w:vAlign w:val="center"/>
          </w:tcPr>
          <w:p w14:paraId="3D11AD49" w14:textId="06D010B2" w:rsidR="00DE7DC9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5044F24" w14:textId="0EC1D4E9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DE7DC9" w:rsidRPr="00904332" w14:paraId="29D80EE2" w14:textId="77777777" w:rsidTr="00DE7DC9">
        <w:trPr>
          <w:trHeight w:val="33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18F850AC" w14:textId="77777777" w:rsidR="00DE7DC9" w:rsidRPr="00904332" w:rsidRDefault="00DE7DC9" w:rsidP="00DE7DC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93B87DE" w14:textId="7751A46D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D7F7A9" w14:textId="791A78E2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44E816" w14:textId="160C3BC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8857BA" w14:textId="0F6DD9A0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9A5C34" w14:textId="08428C7B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D0045D" w14:textId="268E769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1445CF2" w14:textId="60A2A3BA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6AE7ED1" w14:textId="15C262A9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F43D5AC" w14:textId="5553C03B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868CE5F" w14:textId="3FCB8491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7C1F6C4" w14:textId="68AB26DE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249864" w14:textId="3C1B8B86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F71057" w14:textId="14D5A290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3AB58A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536A77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283078" w14:textId="7F231831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55" w:type="dxa"/>
            <w:vAlign w:val="center"/>
          </w:tcPr>
          <w:p w14:paraId="0C7A5BED" w14:textId="771D2619" w:rsidR="00DE7DC9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D8523E" w14:textId="6A319DA9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DE7DC9" w:rsidRPr="00904332" w14:paraId="67081871" w14:textId="77777777" w:rsidTr="00DE7DC9">
        <w:trPr>
          <w:trHeight w:val="33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0BFBF67" w14:textId="77777777" w:rsidR="00DE7DC9" w:rsidRPr="00904332" w:rsidRDefault="00DE7DC9" w:rsidP="00DE7DC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371EC150" w14:textId="1105E050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EAED4F" w14:textId="6617B04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9EC1F9" w14:textId="51DC0B4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8431DF" w14:textId="0B765A4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79E545" w14:textId="1F1A6488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5D56D1" w14:textId="6491C26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9D86618" w14:textId="27608979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6DD17C36" w14:textId="72AB25CB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8970720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4F9127D" w14:textId="652BFA68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2474AA3" w14:textId="1AD85941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070131" w14:textId="7DA3FA19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C59490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11108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574D01" w14:textId="2884E782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31E4D2" w14:textId="08BB5016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55" w:type="dxa"/>
            <w:vAlign w:val="center"/>
          </w:tcPr>
          <w:p w14:paraId="2AF17CFD" w14:textId="344B7815" w:rsidR="00DE7DC9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B2434BD" w14:textId="4D254C6B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DE7DC9" w:rsidRPr="00904332" w14:paraId="065D7BCF" w14:textId="77777777" w:rsidTr="00DE7DC9">
        <w:trPr>
          <w:trHeight w:val="33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C9E828A" w14:textId="77777777" w:rsidR="00DE7DC9" w:rsidRPr="00904332" w:rsidRDefault="00DE7DC9" w:rsidP="00DE7DC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BBB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802B9A8" w14:textId="6EA8E6E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992D7D" w14:textId="653286B8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72C484" w14:textId="37547C45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E9C6F4" w14:textId="364A5CB9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827807" w14:textId="2A36D229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4361E9" w14:textId="0CBE9E28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60FF86B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0,06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4DB9F35E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1BA3676" w14:textId="5603F15B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FC83A7E" w14:textId="22137B8D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F789D5D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39A4FF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7B848F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992517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308D3D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A74B9A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0,01</w:t>
            </w:r>
          </w:p>
        </w:tc>
        <w:tc>
          <w:tcPr>
            <w:tcW w:w="855" w:type="dxa"/>
            <w:vAlign w:val="center"/>
          </w:tcPr>
          <w:p w14:paraId="0773E44A" w14:textId="4E4A7FCA" w:rsidR="00DE7DC9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40C491C" w14:textId="0D54C0C4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DE7DC9" w:rsidRPr="00904332" w14:paraId="625A749F" w14:textId="77777777" w:rsidTr="00DE7DC9">
        <w:trPr>
          <w:trHeight w:val="33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B63765C" w14:textId="77777777" w:rsidR="00DE7DC9" w:rsidRPr="00904332" w:rsidRDefault="00DE7DC9" w:rsidP="00DE7DC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BB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1C0902C" w14:textId="64486BC6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7BF47" w14:textId="5291A719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1D1BA" w14:textId="5F9921E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77242" w14:textId="74A7486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6735D3" w14:textId="63FDDA2E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88D66A" w14:textId="728A79F8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996769A" w14:textId="5D2BB47E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C50C078" w14:textId="66700FDD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0F4A339" w14:textId="2AF0964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4267D33" w14:textId="2B756ED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39DEFE9" w14:textId="0C747820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098414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1CC338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9E78D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B4EC82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E205D3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0,01</w:t>
            </w:r>
          </w:p>
        </w:tc>
        <w:tc>
          <w:tcPr>
            <w:tcW w:w="855" w:type="dxa"/>
            <w:vAlign w:val="center"/>
          </w:tcPr>
          <w:p w14:paraId="02C4A1CD" w14:textId="1B155123" w:rsidR="00DE7DC9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F065E3E" w14:textId="0409B07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DE7DC9" w:rsidRPr="00904332" w14:paraId="3C3E45F2" w14:textId="77777777" w:rsidTr="00DE7DC9">
        <w:trPr>
          <w:trHeight w:val="33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4338DA98" w14:textId="77777777" w:rsidR="00DE7DC9" w:rsidRPr="00904332" w:rsidRDefault="00DE7DC9" w:rsidP="00DE7DC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7726C318" w14:textId="18E936D1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1773AB" w14:textId="094A32A9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BD3C05" w14:textId="7FCB0D20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B43793" w14:textId="05899940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C4DF3D" w14:textId="5863C6EC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B50306" w14:textId="6CE52F1E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341CB2F" w14:textId="493097B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5E1C80EC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68AB614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277D6AA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A72F07B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80656A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BF7F54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84A1F7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466282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3E1701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0,08</w:t>
            </w:r>
          </w:p>
        </w:tc>
        <w:tc>
          <w:tcPr>
            <w:tcW w:w="855" w:type="dxa"/>
            <w:vAlign w:val="center"/>
          </w:tcPr>
          <w:p w14:paraId="620D0478" w14:textId="1BD65CA5" w:rsidR="00DE7DC9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E054BEB" w14:textId="4C7FE8A6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DE7DC9" w:rsidRPr="00904332" w14:paraId="397BCA40" w14:textId="77777777" w:rsidTr="00DE7DC9">
        <w:trPr>
          <w:trHeight w:val="33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C0E2B02" w14:textId="77777777" w:rsidR="00DE7DC9" w:rsidRPr="00904332" w:rsidRDefault="00DE7DC9" w:rsidP="00DE7DC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CCC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694BA41" w14:textId="0438F635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A10E1" w14:textId="67C54F38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26433C" w14:textId="329EA2D2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EE10D0" w14:textId="4681F68D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07E85D" w14:textId="5A546C5B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69E15F" w14:textId="358BE01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7F7CC15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0,17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085D21EA" w14:textId="7479682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7EAD124" w14:textId="6B715EF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66648B2" w14:textId="444ED738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CFF7676" w14:textId="57FA793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03D46" w14:textId="087D85C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EB66F1" w14:textId="42DAE0F1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D91473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F26501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19C06A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0,33</w:t>
            </w:r>
          </w:p>
        </w:tc>
        <w:tc>
          <w:tcPr>
            <w:tcW w:w="855" w:type="dxa"/>
            <w:vAlign w:val="center"/>
          </w:tcPr>
          <w:p w14:paraId="1D34D7D6" w14:textId="09ACF0E0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0,10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2F76F76" w14:textId="101F38F0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DE7DC9" w:rsidRPr="00904332" w14:paraId="06A74546" w14:textId="77777777" w:rsidTr="00DE7DC9">
        <w:trPr>
          <w:trHeight w:val="330"/>
        </w:trPr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5D0ABE8F" w14:textId="77777777" w:rsidR="00DE7DC9" w:rsidRPr="00904332" w:rsidRDefault="00DE7DC9" w:rsidP="00DE7DC9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CC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03D4E78" w14:textId="77CED1B8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F7EEE4" w14:textId="2D4D7521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947B7F" w14:textId="1CE3C1A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5270C1" w14:textId="4D99A22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BC901A" w14:textId="583CE63B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F1162F" w14:textId="0480B3B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FECA94B" w14:textId="0619C79F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25278022" w14:textId="2EE65BD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76B62AD" w14:textId="5B2CB51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DB58E3E" w14:textId="6B8A7D93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91EC30D" w14:textId="192F300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2DC487" w14:textId="69B4F732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D96414" w14:textId="5DE58600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E148D4" w14:textId="01BB8C0B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B3C6A2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D7F19E" w14:textId="77777777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04332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0,67</w:t>
            </w:r>
          </w:p>
        </w:tc>
        <w:tc>
          <w:tcPr>
            <w:tcW w:w="855" w:type="dxa"/>
            <w:vAlign w:val="center"/>
          </w:tcPr>
          <w:p w14:paraId="79EE3497" w14:textId="4AA16710" w:rsidR="00DE7DC9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35D2026" w14:textId="0F48E10C" w:rsidR="00DE7DC9" w:rsidRPr="00904332" w:rsidRDefault="00DE7DC9" w:rsidP="00DE7DC9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</w:tbl>
    <w:p w14:paraId="75C3B0A9" w14:textId="77777777" w:rsidR="00904332" w:rsidRPr="00C44E89" w:rsidRDefault="00904332" w:rsidP="00904332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</w:p>
    <w:p w14:paraId="408C7A22" w14:textId="227EFFC6" w:rsidR="003A4B8E" w:rsidRPr="00C44E89" w:rsidRDefault="003A4B8E" w:rsidP="003A4B8E">
      <w:pPr>
        <w:pStyle w:val="aa"/>
        <w:spacing w:before="0" w:beforeAutospacing="0" w:after="0" w:afterAutospacing="0"/>
        <w:jc w:val="both"/>
        <w:rPr>
          <w:color w:val="000000"/>
        </w:rPr>
      </w:pPr>
      <w:r>
        <w:t>Итоговые частоты дефолтов для конкретной рейтинговой категории могут быть рассчитаны</w:t>
      </w:r>
      <w:r w:rsidR="006E002E">
        <w:t xml:space="preserve"> как</w:t>
      </w:r>
      <w:r>
        <w:t xml:space="preserve"> путем усреднения ч</w:t>
      </w:r>
      <w:r w:rsidRPr="00D8126B">
        <w:t xml:space="preserve">астот дефолтов </w:t>
      </w:r>
      <w:r>
        <w:t>по определенной</w:t>
      </w:r>
      <w:r w:rsidRPr="00D8126B">
        <w:t xml:space="preserve"> рейтингов</w:t>
      </w:r>
      <w:r>
        <w:t>ой</w:t>
      </w:r>
      <w:r w:rsidRPr="00D8126B">
        <w:t xml:space="preserve"> категори</w:t>
      </w:r>
      <w:r>
        <w:t>и</w:t>
      </w:r>
      <w:r w:rsidRPr="00D8126B">
        <w:t xml:space="preserve"> и период</w:t>
      </w:r>
      <w:r>
        <w:t>у (в</w:t>
      </w:r>
      <w:r w:rsidRPr="009F25F2">
        <w:t xml:space="preserve"> качестве весов при усреднении используются отношения числа рейтингов определенной категории на 1 января каждого анализируемого периода к сумме рейтингов данной категории за все даты периода</w:t>
      </w:r>
      <w:r>
        <w:t xml:space="preserve">, затем частоты и веса </w:t>
      </w:r>
      <w:r w:rsidRPr="009F25F2">
        <w:t>поэлементно перемножаются и суммируются в отдельности для каждой рейтинговой категории</w:t>
      </w:r>
      <w:r w:rsidR="006E002E">
        <w:t xml:space="preserve"> за весь период наблюдения</w:t>
      </w:r>
      <w:r>
        <w:t>), так и на основе исходных данных</w:t>
      </w:r>
      <w:r w:rsidR="006E002E">
        <w:t xml:space="preserve"> из таблиц </w:t>
      </w:r>
      <w:r w:rsidR="007E19FD">
        <w:t>3</w:t>
      </w:r>
      <w:r w:rsidR="006E002E">
        <w:t>-</w:t>
      </w:r>
      <w:r w:rsidR="007E19FD">
        <w:t>6</w:t>
      </w:r>
      <w:r w:rsidR="006E002E">
        <w:t xml:space="preserve"> </w:t>
      </w:r>
      <w:r>
        <w:t>(</w:t>
      </w:r>
      <w:r>
        <w:rPr>
          <w:color w:val="000000"/>
        </w:rPr>
        <w:t xml:space="preserve">как отношение числа дефолтов в каждой рейтинговой категории </w:t>
      </w:r>
      <w:r w:rsidR="007E1442">
        <w:rPr>
          <w:color w:val="000000"/>
        </w:rPr>
        <w:t>за все периоды</w:t>
      </w:r>
      <w:r w:rsidR="007E1442">
        <w:rPr>
          <w:color w:val="000000"/>
        </w:rPr>
        <w:t xml:space="preserve"> </w:t>
      </w:r>
      <w:r>
        <w:rPr>
          <w:color w:val="000000"/>
        </w:rPr>
        <w:t>к общему числу рейтингов</w:t>
      </w:r>
      <w:r w:rsidR="007E1442">
        <w:rPr>
          <w:color w:val="000000"/>
        </w:rPr>
        <w:t xml:space="preserve"> в данной категории за все периоды</w:t>
      </w:r>
      <w:r w:rsidR="006E002E">
        <w:rPr>
          <w:color w:val="000000"/>
        </w:rPr>
        <w:t>)</w:t>
      </w:r>
      <w:r w:rsidRPr="00C44E89">
        <w:rPr>
          <w:color w:val="000000"/>
        </w:rPr>
        <w:t>.</w:t>
      </w:r>
      <w:r w:rsidR="006E002E" w:rsidRPr="006E002E">
        <w:t xml:space="preserve"> </w:t>
      </w:r>
      <w:r w:rsidR="006E002E" w:rsidRPr="009F25F2">
        <w:t xml:space="preserve">Результат </w:t>
      </w:r>
      <w:r w:rsidR="006E002E">
        <w:t>можно трактовать как</w:t>
      </w:r>
      <w:r w:rsidR="006E002E" w:rsidRPr="009F25F2">
        <w:t xml:space="preserve"> аппроксимацию вероятности дефолта по данной рейтинговой категории.</w:t>
      </w:r>
    </w:p>
    <w:p w14:paraId="0681D58E" w14:textId="77777777" w:rsidR="00331C87" w:rsidRPr="00C44E89" w:rsidRDefault="00331C87" w:rsidP="00013585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</w:p>
    <w:p w14:paraId="3B69CAD3" w14:textId="0C847781" w:rsidR="00013585" w:rsidRPr="00C44E89" w:rsidRDefault="00013585" w:rsidP="00013585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  <w:r w:rsidRPr="00C44E89">
        <w:rPr>
          <w:rStyle w:val="ab"/>
          <w:color w:val="000000"/>
        </w:rPr>
        <w:t>Таблица</w:t>
      </w:r>
      <w:r>
        <w:rPr>
          <w:rStyle w:val="ab"/>
          <w:color w:val="000000"/>
        </w:rPr>
        <w:t xml:space="preserve"> </w:t>
      </w:r>
      <w:r w:rsidR="007E19FD">
        <w:rPr>
          <w:rStyle w:val="ab"/>
          <w:color w:val="000000"/>
        </w:rPr>
        <w:t>8</w:t>
      </w:r>
      <w:r w:rsidRPr="00C44E89">
        <w:rPr>
          <w:rStyle w:val="ab"/>
          <w:color w:val="000000"/>
        </w:rPr>
        <w:t xml:space="preserve">. </w:t>
      </w:r>
      <w:r w:rsidR="00AB6CD7">
        <w:rPr>
          <w:rStyle w:val="ab"/>
          <w:color w:val="000000"/>
        </w:rPr>
        <w:t xml:space="preserve">Уровни </w:t>
      </w:r>
      <w:r w:rsidR="00331C87">
        <w:rPr>
          <w:rStyle w:val="ab"/>
          <w:color w:val="000000"/>
        </w:rPr>
        <w:t xml:space="preserve">(частоты) </w:t>
      </w:r>
      <w:r w:rsidR="00AB6CD7">
        <w:rPr>
          <w:rStyle w:val="ab"/>
          <w:color w:val="000000"/>
        </w:rPr>
        <w:t>дефолт</w:t>
      </w:r>
      <w:r w:rsidR="005064F9">
        <w:rPr>
          <w:rStyle w:val="ab"/>
          <w:color w:val="000000"/>
        </w:rPr>
        <w:t>а</w:t>
      </w:r>
      <w:r w:rsidR="00AB6CD7">
        <w:rPr>
          <w:rStyle w:val="ab"/>
          <w:color w:val="000000"/>
        </w:rPr>
        <w:t xml:space="preserve"> </w:t>
      </w:r>
      <w:r>
        <w:rPr>
          <w:rStyle w:val="ab"/>
          <w:color w:val="000000"/>
        </w:rPr>
        <w:t>по рейтинговым категориям национальной рейтинговой шкалы</w:t>
      </w:r>
      <w:r w:rsidR="007E1442">
        <w:rPr>
          <w:rStyle w:val="ab"/>
          <w:color w:val="000000"/>
        </w:rPr>
        <w:t xml:space="preserve"> Агентства</w:t>
      </w:r>
    </w:p>
    <w:p w14:paraId="6496C343" w14:textId="77777777" w:rsidR="00013585" w:rsidRPr="00C44E89" w:rsidRDefault="00013585" w:rsidP="00013585">
      <w:pPr>
        <w:pStyle w:val="aa"/>
        <w:spacing w:before="0" w:beforeAutospacing="0" w:after="0" w:afterAutospacing="0"/>
        <w:jc w:val="both"/>
        <w:rPr>
          <w:rStyle w:val="ab"/>
          <w:color w:val="000000"/>
        </w:rPr>
      </w:pPr>
    </w:p>
    <w:tbl>
      <w:tblPr>
        <w:tblW w:w="8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984"/>
        <w:gridCol w:w="1984"/>
      </w:tblGrid>
      <w:tr w:rsidR="009746E0" w:rsidRPr="00C44E89" w14:paraId="2742D135" w14:textId="14F1F543" w:rsidTr="005064F9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06CDCD8A" w14:textId="77777777" w:rsidR="009746E0" w:rsidRPr="007E1442" w:rsidRDefault="009746E0" w:rsidP="007E1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Рейтинговая 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822C83" w14:textId="283A363A" w:rsidR="009746E0" w:rsidRPr="007E1442" w:rsidRDefault="009746E0" w:rsidP="00997D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 xml:space="preserve">на горизонте </w:t>
            </w:r>
          </w:p>
          <w:p w14:paraId="2052E5B3" w14:textId="76992DE2" w:rsidR="009746E0" w:rsidRPr="007E1442" w:rsidRDefault="009746E0" w:rsidP="00997D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>1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705643" w14:textId="77777777" w:rsidR="009746E0" w:rsidRPr="007E1442" w:rsidRDefault="009746E0" w:rsidP="00997D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>на горизонте</w:t>
            </w:r>
          </w:p>
          <w:p w14:paraId="6B965B48" w14:textId="59AA54D2" w:rsidR="009746E0" w:rsidRPr="007E1442" w:rsidRDefault="009746E0" w:rsidP="00997D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>2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35D368" w14:textId="7558D2A8" w:rsidR="009746E0" w:rsidRPr="007E1442" w:rsidRDefault="009746E0" w:rsidP="00997D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 xml:space="preserve">на горизонте </w:t>
            </w:r>
          </w:p>
          <w:p w14:paraId="215AD2E6" w14:textId="6E7E8EB6" w:rsidR="009746E0" w:rsidRPr="007E1442" w:rsidDel="00A7605A" w:rsidRDefault="009746E0" w:rsidP="00997D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</w:pPr>
            <w:r w:rsidRPr="007E1442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ru-RU"/>
              </w:rPr>
              <w:t>3 года</w:t>
            </w:r>
          </w:p>
        </w:tc>
      </w:tr>
      <w:tr w:rsidR="009746E0" w:rsidRPr="00C44E89" w14:paraId="706A0EAA" w14:textId="345986F0" w:rsidTr="005064F9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4960952D" w14:textId="77777777" w:rsidR="009746E0" w:rsidRPr="00C44E89" w:rsidRDefault="009746E0" w:rsidP="007E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AAA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BEA9" w14:textId="4F3B2EDF" w:rsidR="009746E0" w:rsidRPr="00666ECF" w:rsidRDefault="009746E0" w:rsidP="00666ECF">
            <w:pPr>
              <w:pStyle w:val="RAEXdefault"/>
              <w:jc w:val="center"/>
            </w:pPr>
            <w:r w:rsidRPr="00666ECF">
              <w:t>0,00%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ED95" w14:textId="6515F28D" w:rsidR="009746E0" w:rsidRPr="00666ECF" w:rsidRDefault="009746E0" w:rsidP="009746E0">
            <w:pPr>
              <w:pStyle w:val="RAEXdefault"/>
              <w:jc w:val="center"/>
            </w:pPr>
            <w:r>
              <w:t>0,00%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A86AB" w14:textId="0238DADC" w:rsidR="009746E0" w:rsidRPr="00666ECF" w:rsidRDefault="009746E0" w:rsidP="00666ECF">
            <w:pPr>
              <w:pStyle w:val="RAEXdefault"/>
              <w:jc w:val="center"/>
            </w:pPr>
            <w:r w:rsidRPr="00666ECF">
              <w:t>0,00%</w:t>
            </w:r>
          </w:p>
        </w:tc>
      </w:tr>
      <w:tr w:rsidR="009746E0" w:rsidRPr="00C44E89" w14:paraId="4147F890" w14:textId="682D3405" w:rsidTr="005064F9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2FC19595" w14:textId="77777777" w:rsidR="009746E0" w:rsidRPr="00C44E89" w:rsidRDefault="009746E0" w:rsidP="007E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387E" w14:textId="3C8B835C" w:rsidR="009746E0" w:rsidRPr="00666ECF" w:rsidRDefault="009746E0" w:rsidP="00666ECF">
            <w:pPr>
              <w:pStyle w:val="RAEXdefault"/>
              <w:jc w:val="center"/>
            </w:pPr>
            <w:r w:rsidRPr="00666ECF">
              <w:t>0,36%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F58" w14:textId="3DC2D2C2" w:rsidR="009746E0" w:rsidRPr="00666ECF" w:rsidRDefault="009746E0" w:rsidP="009746E0">
            <w:pPr>
              <w:pStyle w:val="RAEXdefault"/>
              <w:jc w:val="center"/>
            </w:pPr>
            <w:r>
              <w:t>0,90%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1A538" w14:textId="221747CC" w:rsidR="009746E0" w:rsidRPr="00666ECF" w:rsidRDefault="009746E0" w:rsidP="00666ECF">
            <w:pPr>
              <w:pStyle w:val="RAEXdefault"/>
              <w:jc w:val="center"/>
            </w:pPr>
            <w:r w:rsidRPr="00666ECF">
              <w:t>1,25%</w:t>
            </w:r>
          </w:p>
        </w:tc>
      </w:tr>
      <w:tr w:rsidR="009746E0" w:rsidRPr="00C44E89" w14:paraId="4BB22C78" w14:textId="709C236B" w:rsidTr="005064F9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01178E66" w14:textId="77777777" w:rsidR="009746E0" w:rsidRPr="00C44E89" w:rsidRDefault="009746E0" w:rsidP="007E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4E8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899C" w14:textId="5C3F29A8" w:rsidR="009746E0" w:rsidRPr="00666ECF" w:rsidRDefault="009746E0" w:rsidP="00666ECF">
            <w:pPr>
              <w:pStyle w:val="RAEXdefault"/>
              <w:jc w:val="center"/>
            </w:pPr>
            <w:r w:rsidRPr="00666ECF">
              <w:t>1,05%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D2F" w14:textId="7FB2A616" w:rsidR="009746E0" w:rsidRPr="00666ECF" w:rsidRDefault="009746E0" w:rsidP="009746E0">
            <w:pPr>
              <w:pStyle w:val="RAEXdefault"/>
              <w:jc w:val="center"/>
            </w:pPr>
            <w:r>
              <w:t>2,44%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A40D" w14:textId="550162B0" w:rsidR="009746E0" w:rsidRPr="00666ECF" w:rsidRDefault="009746E0" w:rsidP="00666ECF">
            <w:pPr>
              <w:pStyle w:val="RAEXdefault"/>
              <w:jc w:val="center"/>
            </w:pPr>
            <w:r w:rsidRPr="00666ECF">
              <w:t>3,38%</w:t>
            </w:r>
          </w:p>
        </w:tc>
      </w:tr>
      <w:tr w:rsidR="009746E0" w:rsidRPr="00C44E89" w14:paraId="1CBCA7E0" w14:textId="0D2D5B05" w:rsidTr="005064F9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0D60D449" w14:textId="77777777" w:rsidR="009746E0" w:rsidRPr="00493F3E" w:rsidRDefault="009746E0" w:rsidP="007E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C44E8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BB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9C15" w14:textId="7E2E0305" w:rsidR="009746E0" w:rsidRPr="00666ECF" w:rsidRDefault="009746E0" w:rsidP="00666ECF">
            <w:pPr>
              <w:pStyle w:val="RAEXdefault"/>
              <w:jc w:val="center"/>
            </w:pPr>
            <w:r w:rsidRPr="00666ECF">
              <w:t>2,12%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8BE" w14:textId="2EE16860" w:rsidR="009746E0" w:rsidRPr="00666ECF" w:rsidRDefault="009746E0" w:rsidP="009746E0">
            <w:pPr>
              <w:pStyle w:val="RAEXdefault"/>
              <w:jc w:val="center"/>
            </w:pPr>
            <w:r>
              <w:t>5,35%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8F8F" w14:textId="2B535659" w:rsidR="009746E0" w:rsidRPr="00666ECF" w:rsidRDefault="009746E0" w:rsidP="00666ECF">
            <w:pPr>
              <w:pStyle w:val="RAEXdefault"/>
              <w:jc w:val="center"/>
            </w:pPr>
            <w:r w:rsidRPr="00666ECF">
              <w:t>8,50%</w:t>
            </w:r>
          </w:p>
        </w:tc>
      </w:tr>
      <w:tr w:rsidR="009746E0" w:rsidRPr="00C44E89" w14:paraId="216B4B37" w14:textId="29D51207" w:rsidTr="005064F9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0C80F27A" w14:textId="77777777" w:rsidR="009746E0" w:rsidRPr="00C44E89" w:rsidRDefault="009746E0" w:rsidP="007E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BB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EB57" w14:textId="4636D3B9" w:rsidR="009746E0" w:rsidRPr="00666ECF" w:rsidRDefault="009746E0" w:rsidP="00666ECF">
            <w:pPr>
              <w:pStyle w:val="RAEXdefault"/>
              <w:jc w:val="center"/>
            </w:pPr>
            <w:r w:rsidRPr="00666ECF">
              <w:t>4,00%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CB0" w14:textId="6907CF5C" w:rsidR="009746E0" w:rsidRPr="00666ECF" w:rsidRDefault="009746E0" w:rsidP="009746E0">
            <w:pPr>
              <w:pStyle w:val="RAEXdefault"/>
              <w:jc w:val="center"/>
            </w:pPr>
            <w:r>
              <w:t>11,19%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6F68" w14:textId="086D44A6" w:rsidR="009746E0" w:rsidRPr="00666ECF" w:rsidRDefault="009746E0" w:rsidP="00666ECF">
            <w:pPr>
              <w:pStyle w:val="RAEXdefault"/>
              <w:jc w:val="center"/>
            </w:pPr>
            <w:r w:rsidRPr="00666ECF">
              <w:t>16,14%</w:t>
            </w:r>
          </w:p>
        </w:tc>
      </w:tr>
      <w:tr w:rsidR="009746E0" w:rsidRPr="00C44E89" w14:paraId="67053F8C" w14:textId="13BBD2F5" w:rsidTr="005064F9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14:paraId="2C3131F5" w14:textId="77777777" w:rsidR="009746E0" w:rsidRPr="00C44E89" w:rsidRDefault="009746E0" w:rsidP="007E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4E8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4796" w14:textId="40653241" w:rsidR="009746E0" w:rsidRPr="00666ECF" w:rsidRDefault="009746E0" w:rsidP="00666ECF">
            <w:pPr>
              <w:pStyle w:val="RAEXdefault"/>
              <w:jc w:val="center"/>
            </w:pPr>
            <w:r w:rsidRPr="00666ECF">
              <w:t>8,25%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916" w14:textId="5CD83D55" w:rsidR="009746E0" w:rsidRPr="00666ECF" w:rsidRDefault="009746E0" w:rsidP="009746E0">
            <w:pPr>
              <w:pStyle w:val="RAEXdefault"/>
              <w:jc w:val="center"/>
            </w:pPr>
            <w:r>
              <w:t>14,94%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C351" w14:textId="0EF82879" w:rsidR="009746E0" w:rsidRPr="00666ECF" w:rsidRDefault="009746E0" w:rsidP="00666ECF">
            <w:pPr>
              <w:pStyle w:val="RAEXdefault"/>
              <w:jc w:val="center"/>
            </w:pPr>
            <w:r w:rsidRPr="00666ECF">
              <w:t>20,48%</w:t>
            </w:r>
          </w:p>
        </w:tc>
      </w:tr>
      <w:tr w:rsidR="009746E0" w:rsidRPr="00C44E89" w14:paraId="21456158" w14:textId="2A89CAC0" w:rsidTr="005064F9">
        <w:trPr>
          <w:trHeight w:val="20"/>
        </w:trPr>
        <w:tc>
          <w:tcPr>
            <w:tcW w:w="2127" w:type="dxa"/>
            <w:shd w:val="clear" w:color="auto" w:fill="auto"/>
            <w:vAlign w:val="center"/>
          </w:tcPr>
          <w:p w14:paraId="4F63DA04" w14:textId="77777777" w:rsidR="009746E0" w:rsidRPr="00493F3E" w:rsidRDefault="009746E0" w:rsidP="007E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CCC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A478" w14:textId="0545BD7C" w:rsidR="009746E0" w:rsidRPr="00666ECF" w:rsidRDefault="009746E0" w:rsidP="00666ECF">
            <w:pPr>
              <w:pStyle w:val="RAEXdefault"/>
              <w:jc w:val="center"/>
            </w:pPr>
            <w:r w:rsidRPr="00666ECF">
              <w:t>18,18%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E5D" w14:textId="73301FDC" w:rsidR="009746E0" w:rsidRPr="00666ECF" w:rsidRDefault="009746E0" w:rsidP="009746E0">
            <w:pPr>
              <w:pStyle w:val="RAEXdefault"/>
              <w:jc w:val="center"/>
            </w:pPr>
            <w:r>
              <w:t>25,45%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3F6CE" w14:textId="56A7847F" w:rsidR="009746E0" w:rsidRPr="00666ECF" w:rsidRDefault="009746E0" w:rsidP="00666ECF">
            <w:pPr>
              <w:pStyle w:val="RAEXdefault"/>
              <w:jc w:val="center"/>
            </w:pPr>
            <w:r w:rsidRPr="00666ECF">
              <w:t>25,45%</w:t>
            </w:r>
          </w:p>
        </w:tc>
      </w:tr>
      <w:tr w:rsidR="009746E0" w:rsidRPr="00C44E89" w14:paraId="6D322CF1" w14:textId="7B8FE226" w:rsidTr="005064F9">
        <w:trPr>
          <w:trHeight w:val="20"/>
        </w:trPr>
        <w:tc>
          <w:tcPr>
            <w:tcW w:w="2127" w:type="dxa"/>
            <w:shd w:val="clear" w:color="auto" w:fill="auto"/>
            <w:vAlign w:val="center"/>
          </w:tcPr>
          <w:p w14:paraId="7DB426F6" w14:textId="77777777" w:rsidR="009746E0" w:rsidRPr="00493F3E" w:rsidRDefault="009746E0" w:rsidP="007E1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9BD7" w14:textId="5F82F7AA" w:rsidR="009746E0" w:rsidRPr="00666ECF" w:rsidRDefault="009746E0" w:rsidP="00666ECF">
            <w:pPr>
              <w:pStyle w:val="RAEXdefault"/>
              <w:jc w:val="center"/>
            </w:pPr>
            <w:r w:rsidRPr="00666ECF">
              <w:t>33,33%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411" w14:textId="6E4E1B0F" w:rsidR="009746E0" w:rsidRPr="00666ECF" w:rsidRDefault="009746E0" w:rsidP="00666ECF">
            <w:pPr>
              <w:pStyle w:val="RAEXdefault"/>
              <w:jc w:val="center"/>
            </w:pPr>
            <w:r>
              <w:t>33,33%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B72E" w14:textId="64699B01" w:rsidR="009746E0" w:rsidRPr="00666ECF" w:rsidRDefault="009746E0" w:rsidP="00666ECF">
            <w:pPr>
              <w:pStyle w:val="RAEXdefault"/>
              <w:jc w:val="center"/>
            </w:pPr>
            <w:r w:rsidRPr="00666ECF">
              <w:t>33,33%</w:t>
            </w:r>
          </w:p>
        </w:tc>
      </w:tr>
    </w:tbl>
    <w:p w14:paraId="13B99D6F" w14:textId="77777777" w:rsidR="00122582" w:rsidRPr="00C44E89" w:rsidRDefault="00122582" w:rsidP="005064F9">
      <w:pPr>
        <w:pStyle w:val="RAEXdefault"/>
        <w:rPr>
          <w:rStyle w:val="ab"/>
          <w:rFonts w:eastAsia="Times New Roman" w:cs="Times New Roman"/>
          <w:color w:val="000000"/>
          <w:szCs w:val="24"/>
          <w:lang w:eastAsia="ru-RU"/>
        </w:rPr>
      </w:pPr>
    </w:p>
    <w:sectPr w:rsidR="00122582" w:rsidRPr="00C44E89" w:rsidSect="00D72B5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1E9E" w14:textId="77777777" w:rsidR="00893BEA" w:rsidRDefault="00893BEA" w:rsidP="00F63D78">
      <w:r>
        <w:separator/>
      </w:r>
    </w:p>
  </w:endnote>
  <w:endnote w:type="continuationSeparator" w:id="0">
    <w:p w14:paraId="7D452E54" w14:textId="77777777" w:rsidR="00893BEA" w:rsidRDefault="00893BEA" w:rsidP="00F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0A92" w14:textId="77777777" w:rsidR="00893BEA" w:rsidRDefault="00893BEA" w:rsidP="00F63D78">
      <w:r>
        <w:separator/>
      </w:r>
    </w:p>
  </w:footnote>
  <w:footnote w:type="continuationSeparator" w:id="0">
    <w:p w14:paraId="76B16EAF" w14:textId="77777777" w:rsidR="00893BEA" w:rsidRDefault="00893BEA" w:rsidP="00F6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A01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48728D"/>
    <w:multiLevelType w:val="hybridMultilevel"/>
    <w:tmpl w:val="A3D484A2"/>
    <w:lvl w:ilvl="0" w:tplc="B986CB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5F96"/>
    <w:multiLevelType w:val="hybridMultilevel"/>
    <w:tmpl w:val="666CC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46EFE"/>
    <w:multiLevelType w:val="hybridMultilevel"/>
    <w:tmpl w:val="C7A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E02"/>
    <w:multiLevelType w:val="hybridMultilevel"/>
    <w:tmpl w:val="A9328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A1713"/>
    <w:multiLevelType w:val="multilevel"/>
    <w:tmpl w:val="0518B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C7"/>
    <w:rsid w:val="0000381C"/>
    <w:rsid w:val="0000584B"/>
    <w:rsid w:val="00013585"/>
    <w:rsid w:val="00013FA4"/>
    <w:rsid w:val="0002499A"/>
    <w:rsid w:val="000356F7"/>
    <w:rsid w:val="000366C2"/>
    <w:rsid w:val="00043494"/>
    <w:rsid w:val="00057B47"/>
    <w:rsid w:val="00086AA2"/>
    <w:rsid w:val="000900C2"/>
    <w:rsid w:val="0009278D"/>
    <w:rsid w:val="000A09B4"/>
    <w:rsid w:val="000A2697"/>
    <w:rsid w:val="000D60E5"/>
    <w:rsid w:val="000E5FB4"/>
    <w:rsid w:val="00122582"/>
    <w:rsid w:val="00126945"/>
    <w:rsid w:val="0013446B"/>
    <w:rsid w:val="00136CBB"/>
    <w:rsid w:val="001732FB"/>
    <w:rsid w:val="00181D3C"/>
    <w:rsid w:val="00184E28"/>
    <w:rsid w:val="0019007A"/>
    <w:rsid w:val="00197502"/>
    <w:rsid w:val="001A0C92"/>
    <w:rsid w:val="001C1793"/>
    <w:rsid w:val="001C380D"/>
    <w:rsid w:val="001F0302"/>
    <w:rsid w:val="001F3B07"/>
    <w:rsid w:val="00213032"/>
    <w:rsid w:val="00247A50"/>
    <w:rsid w:val="002943D0"/>
    <w:rsid w:val="002A37BC"/>
    <w:rsid w:val="002C285D"/>
    <w:rsid w:val="002F2473"/>
    <w:rsid w:val="002F5D68"/>
    <w:rsid w:val="00324EE4"/>
    <w:rsid w:val="00331C87"/>
    <w:rsid w:val="003455E2"/>
    <w:rsid w:val="003A4B8E"/>
    <w:rsid w:val="00426ACE"/>
    <w:rsid w:val="00464EF5"/>
    <w:rsid w:val="00493975"/>
    <w:rsid w:val="00493F3E"/>
    <w:rsid w:val="004A08D2"/>
    <w:rsid w:val="004B03A7"/>
    <w:rsid w:val="004B0676"/>
    <w:rsid w:val="004B3AE3"/>
    <w:rsid w:val="004B5FDE"/>
    <w:rsid w:val="004C3AA3"/>
    <w:rsid w:val="004C6E2F"/>
    <w:rsid w:val="004F1BB5"/>
    <w:rsid w:val="004F4F90"/>
    <w:rsid w:val="005064F9"/>
    <w:rsid w:val="005654CB"/>
    <w:rsid w:val="00570C53"/>
    <w:rsid w:val="00580D51"/>
    <w:rsid w:val="005A1B38"/>
    <w:rsid w:val="005B25D6"/>
    <w:rsid w:val="005E6AA9"/>
    <w:rsid w:val="00617BA7"/>
    <w:rsid w:val="00656B77"/>
    <w:rsid w:val="00665FEF"/>
    <w:rsid w:val="00666ECF"/>
    <w:rsid w:val="006707FE"/>
    <w:rsid w:val="00670DD2"/>
    <w:rsid w:val="00673A11"/>
    <w:rsid w:val="0067490C"/>
    <w:rsid w:val="00675AE6"/>
    <w:rsid w:val="006A24E8"/>
    <w:rsid w:val="006B1F2C"/>
    <w:rsid w:val="006C149F"/>
    <w:rsid w:val="006C7E36"/>
    <w:rsid w:val="006E002E"/>
    <w:rsid w:val="006E13FE"/>
    <w:rsid w:val="007141E5"/>
    <w:rsid w:val="00717862"/>
    <w:rsid w:val="007835A2"/>
    <w:rsid w:val="0079565B"/>
    <w:rsid w:val="007B2C71"/>
    <w:rsid w:val="007D13C3"/>
    <w:rsid w:val="007E1442"/>
    <w:rsid w:val="007E19FD"/>
    <w:rsid w:val="007F203F"/>
    <w:rsid w:val="007F3E53"/>
    <w:rsid w:val="008020F3"/>
    <w:rsid w:val="0083785E"/>
    <w:rsid w:val="0086434B"/>
    <w:rsid w:val="0088126D"/>
    <w:rsid w:val="00893BEA"/>
    <w:rsid w:val="00896AD6"/>
    <w:rsid w:val="008B6323"/>
    <w:rsid w:val="008D5CBF"/>
    <w:rsid w:val="008E086B"/>
    <w:rsid w:val="00904332"/>
    <w:rsid w:val="00922D50"/>
    <w:rsid w:val="009528AA"/>
    <w:rsid w:val="00956409"/>
    <w:rsid w:val="009662EA"/>
    <w:rsid w:val="00966898"/>
    <w:rsid w:val="00967AC3"/>
    <w:rsid w:val="009746E0"/>
    <w:rsid w:val="009760D0"/>
    <w:rsid w:val="00997DAB"/>
    <w:rsid w:val="009B3186"/>
    <w:rsid w:val="009B559F"/>
    <w:rsid w:val="009C3C93"/>
    <w:rsid w:val="009D5F30"/>
    <w:rsid w:val="00A24CC1"/>
    <w:rsid w:val="00A34D51"/>
    <w:rsid w:val="00A55BA7"/>
    <w:rsid w:val="00A60D4D"/>
    <w:rsid w:val="00A61A24"/>
    <w:rsid w:val="00A61AA1"/>
    <w:rsid w:val="00A75304"/>
    <w:rsid w:val="00A7605A"/>
    <w:rsid w:val="00A9647B"/>
    <w:rsid w:val="00AA16DD"/>
    <w:rsid w:val="00AB6CD7"/>
    <w:rsid w:val="00AD5C7E"/>
    <w:rsid w:val="00AD5E87"/>
    <w:rsid w:val="00AD7170"/>
    <w:rsid w:val="00B22386"/>
    <w:rsid w:val="00B24343"/>
    <w:rsid w:val="00B72C91"/>
    <w:rsid w:val="00B7372E"/>
    <w:rsid w:val="00B83AC5"/>
    <w:rsid w:val="00B85661"/>
    <w:rsid w:val="00BA665A"/>
    <w:rsid w:val="00BC5CDD"/>
    <w:rsid w:val="00BD67F7"/>
    <w:rsid w:val="00C0089E"/>
    <w:rsid w:val="00C113F9"/>
    <w:rsid w:val="00C31FF1"/>
    <w:rsid w:val="00C42F21"/>
    <w:rsid w:val="00C44E89"/>
    <w:rsid w:val="00C772A1"/>
    <w:rsid w:val="00C82DF5"/>
    <w:rsid w:val="00C87A98"/>
    <w:rsid w:val="00D100F4"/>
    <w:rsid w:val="00D1722F"/>
    <w:rsid w:val="00D22191"/>
    <w:rsid w:val="00D27818"/>
    <w:rsid w:val="00D3700D"/>
    <w:rsid w:val="00D6026E"/>
    <w:rsid w:val="00D62538"/>
    <w:rsid w:val="00D72B56"/>
    <w:rsid w:val="00D76434"/>
    <w:rsid w:val="00D97CE9"/>
    <w:rsid w:val="00DA66D1"/>
    <w:rsid w:val="00DC374F"/>
    <w:rsid w:val="00DD0C86"/>
    <w:rsid w:val="00DE040A"/>
    <w:rsid w:val="00DE7DC9"/>
    <w:rsid w:val="00E028EC"/>
    <w:rsid w:val="00E129C7"/>
    <w:rsid w:val="00E136C7"/>
    <w:rsid w:val="00E46E95"/>
    <w:rsid w:val="00E71E5E"/>
    <w:rsid w:val="00E84736"/>
    <w:rsid w:val="00EA0476"/>
    <w:rsid w:val="00EA431D"/>
    <w:rsid w:val="00F264A2"/>
    <w:rsid w:val="00F3022E"/>
    <w:rsid w:val="00F36E76"/>
    <w:rsid w:val="00F42BAC"/>
    <w:rsid w:val="00F47703"/>
    <w:rsid w:val="00F63D78"/>
    <w:rsid w:val="00F91082"/>
    <w:rsid w:val="00FC7989"/>
    <w:rsid w:val="00FD30ED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E378"/>
  <w15:docId w15:val="{3C7F3FDB-F02C-419F-8D53-4154672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455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3455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7AC3"/>
    <w:pPr>
      <w:numPr>
        <w:numId w:val="2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63D78"/>
  </w:style>
  <w:style w:type="paragraph" w:styleId="a8">
    <w:name w:val="footer"/>
    <w:basedOn w:val="a0"/>
    <w:link w:val="a9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63D78"/>
  </w:style>
  <w:style w:type="paragraph" w:customStyle="1" w:styleId="RAEXdefault">
    <w:name w:val="RAEX default"/>
    <w:basedOn w:val="a0"/>
    <w:next w:val="a0"/>
    <w:link w:val="RAEXdefault0"/>
    <w:qFormat/>
    <w:rsid w:val="00617BA7"/>
    <w:pPr>
      <w:contextualSpacing/>
      <w:jc w:val="both"/>
    </w:pPr>
    <w:rPr>
      <w:rFonts w:ascii="Times New Roman" w:hAnsi="Times New Roman"/>
      <w:lang w:val="en-US"/>
    </w:rPr>
  </w:style>
  <w:style w:type="character" w:customStyle="1" w:styleId="RAEXdefault0">
    <w:name w:val="RAEX default Знак"/>
    <w:basedOn w:val="a1"/>
    <w:link w:val="RAEXdefault"/>
    <w:rsid w:val="00617BA7"/>
    <w:rPr>
      <w:rFonts w:ascii="Times New Roman" w:hAnsi="Times New Roman"/>
      <w:lang w:val="en-US"/>
    </w:rPr>
  </w:style>
  <w:style w:type="character" w:customStyle="1" w:styleId="10">
    <w:name w:val="Заголовок 1 Знак"/>
    <w:basedOn w:val="a1"/>
    <w:link w:val="1"/>
    <w:uiPriority w:val="9"/>
    <w:rsid w:val="00345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45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0"/>
    <w:uiPriority w:val="99"/>
    <w:semiHidden/>
    <w:unhideWhenUsed/>
    <w:rsid w:val="003455E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b">
    <w:name w:val="Strong"/>
    <w:basedOn w:val="a1"/>
    <w:uiPriority w:val="22"/>
    <w:qFormat/>
    <w:rsid w:val="003455E2"/>
    <w:rPr>
      <w:b/>
      <w:bCs/>
    </w:rPr>
  </w:style>
  <w:style w:type="table" w:styleId="ac">
    <w:name w:val="Table Grid"/>
    <w:basedOn w:val="a2"/>
    <w:uiPriority w:val="59"/>
    <w:rsid w:val="0034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E847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E84736"/>
    <w:rPr>
      <w:rFonts w:ascii="Segoe UI" w:hAnsi="Segoe UI" w:cs="Segoe U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0356F7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0356F7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0356F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6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356F7"/>
    <w:rPr>
      <w:b/>
      <w:bCs/>
      <w:sz w:val="20"/>
      <w:szCs w:val="20"/>
    </w:rPr>
  </w:style>
  <w:style w:type="character" w:styleId="af4">
    <w:name w:val="Hyperlink"/>
    <w:basedOn w:val="a1"/>
    <w:uiPriority w:val="99"/>
    <w:unhideWhenUsed/>
    <w:rsid w:val="004F1BB5"/>
    <w:rPr>
      <w:color w:val="0000FF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4F1BB5"/>
    <w:rPr>
      <w:color w:val="808080"/>
      <w:shd w:val="clear" w:color="auto" w:fill="E6E6E6"/>
    </w:rPr>
  </w:style>
  <w:style w:type="paragraph" w:styleId="af6">
    <w:name w:val="Revision"/>
    <w:hidden/>
    <w:uiPriority w:val="99"/>
    <w:semiHidden/>
    <w:rsid w:val="00666ECF"/>
  </w:style>
  <w:style w:type="character" w:customStyle="1" w:styleId="a5">
    <w:name w:val="Абзац списка Знак"/>
    <w:basedOn w:val="a1"/>
    <w:link w:val="a4"/>
    <w:uiPriority w:val="34"/>
    <w:rsid w:val="007B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465D-6627-4C53-9EB5-E93FCF96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Эксперт РА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Стукан Денис</dc:creator>
  <cp:keywords/>
  <dc:description/>
  <cp:lastModifiedBy>Волков Станислав</cp:lastModifiedBy>
  <cp:revision>5</cp:revision>
  <cp:lastPrinted>2013-10-07T04:32:00Z</cp:lastPrinted>
  <dcterms:created xsi:type="dcterms:W3CDTF">2018-07-27T12:05:00Z</dcterms:created>
  <dcterms:modified xsi:type="dcterms:W3CDTF">2018-07-31T11:08:00Z</dcterms:modified>
</cp:coreProperties>
</file>